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459"/>
      </w:tblGrid>
      <w:tr w:rsidR="00493424" w14:paraId="4605BBC0" w14:textId="77777777" w:rsidTr="00493424">
        <w:tc>
          <w:tcPr>
            <w:tcW w:w="1908" w:type="dxa"/>
          </w:tcPr>
          <w:p w14:paraId="189A0C86" w14:textId="77777777" w:rsidR="00493424" w:rsidRDefault="00493424" w:rsidP="00493424">
            <w:pPr>
              <w:rPr>
                <w:b/>
                <w:smallCaps/>
                <w:sz w:val="30"/>
                <w:szCs w:val="24"/>
              </w:rPr>
            </w:pPr>
            <w:r>
              <w:rPr>
                <w:b/>
                <w:smallCaps/>
                <w:noProof/>
                <w:sz w:val="30"/>
                <w:szCs w:val="24"/>
              </w:rPr>
              <w:drawing>
                <wp:inline distT="0" distB="0" distL="0" distR="0" wp14:anchorId="109CE8C9" wp14:editId="6E9B2F2C">
                  <wp:extent cx="957331" cy="9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eal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376" cy="964220"/>
                          </a:xfrm>
                          <a:prstGeom prst="rect">
                            <a:avLst/>
                          </a:prstGeom>
                        </pic:spPr>
                      </pic:pic>
                    </a:graphicData>
                  </a:graphic>
                </wp:inline>
              </w:drawing>
            </w:r>
          </w:p>
        </w:tc>
        <w:tc>
          <w:tcPr>
            <w:tcW w:w="7668" w:type="dxa"/>
            <w:vAlign w:val="center"/>
          </w:tcPr>
          <w:p w14:paraId="68DF29FF" w14:textId="23A55861" w:rsidR="00493424" w:rsidRPr="00493424" w:rsidRDefault="00493424" w:rsidP="00493424">
            <w:pPr>
              <w:jc w:val="center"/>
              <w:rPr>
                <w:b/>
                <w:smallCaps/>
                <w:sz w:val="28"/>
                <w:szCs w:val="24"/>
              </w:rPr>
            </w:pPr>
            <w:r w:rsidRPr="00493424">
              <w:rPr>
                <w:b/>
                <w:smallCaps/>
                <w:sz w:val="28"/>
                <w:szCs w:val="24"/>
              </w:rPr>
              <w:t xml:space="preserve">The University of Texas </w:t>
            </w:r>
            <w:r w:rsidR="00D85B75">
              <w:rPr>
                <w:b/>
                <w:smallCaps/>
                <w:sz w:val="28"/>
                <w:szCs w:val="24"/>
              </w:rPr>
              <w:t>at Tyler</w:t>
            </w:r>
          </w:p>
          <w:p w14:paraId="545B1A1D" w14:textId="77777777" w:rsidR="00493424" w:rsidRDefault="00493424" w:rsidP="00493424">
            <w:pPr>
              <w:jc w:val="center"/>
              <w:rPr>
                <w:b/>
                <w:smallCaps/>
                <w:sz w:val="30"/>
                <w:szCs w:val="24"/>
              </w:rPr>
            </w:pPr>
            <w:r w:rsidRPr="00493424">
              <w:rPr>
                <w:b/>
                <w:smallCaps/>
                <w:sz w:val="28"/>
                <w:szCs w:val="24"/>
              </w:rPr>
              <w:t>Report on Information Regarding Staff Compensation</w:t>
            </w:r>
          </w:p>
        </w:tc>
      </w:tr>
    </w:tbl>
    <w:p w14:paraId="6500A032" w14:textId="77777777" w:rsidR="00453AAE" w:rsidRDefault="001B1DD0" w:rsidP="00453AAE">
      <w:r>
        <w:t xml:space="preserve">In compliance with </w:t>
      </w:r>
      <w:r w:rsidR="004C3F92">
        <w:rPr>
          <w:i/>
        </w:rPr>
        <w:t xml:space="preserve">Texas </w:t>
      </w:r>
      <w:r w:rsidR="00453AAE">
        <w:rPr>
          <w:i/>
        </w:rPr>
        <w:t>Government Code</w:t>
      </w:r>
      <w:r w:rsidR="00453AAE">
        <w:t xml:space="preserve"> Sec. 659.026. INFORMATION REGARDING STAFF </w:t>
      </w:r>
      <w:r>
        <w:t>C</w:t>
      </w:r>
      <w:r w:rsidR="00453AAE">
        <w:t>OMPENSATION</w:t>
      </w:r>
      <w:r>
        <w:t xml:space="preserve">, </w:t>
      </w:r>
      <w:r w:rsidR="0003429F">
        <w:t>the following information is made</w:t>
      </w:r>
      <w:r>
        <w:t xml:space="preserve"> </w:t>
      </w:r>
      <w:r w:rsidR="00453AAE">
        <w:t>available</w:t>
      </w:r>
      <w:r w:rsidR="004C3F92">
        <w:t>:</w:t>
      </w:r>
    </w:p>
    <w:p w14:paraId="640E8A22" w14:textId="77777777" w:rsidR="005924D3" w:rsidRDefault="00453AAE" w:rsidP="00493424">
      <w:pPr>
        <w:pStyle w:val="ListParagraph"/>
        <w:numPr>
          <w:ilvl w:val="0"/>
          <w:numId w:val="1"/>
        </w:numPr>
      </w:pPr>
      <w:r>
        <w:t>the number of full-time equivalent employees employed by the agency;</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90"/>
      </w:tblGrid>
      <w:tr w:rsidR="005924D3" w14:paraId="2B2D2CB1" w14:textId="77777777" w:rsidTr="005924D3">
        <w:tc>
          <w:tcPr>
            <w:tcW w:w="3060" w:type="dxa"/>
          </w:tcPr>
          <w:p w14:paraId="1CD630BE" w14:textId="77777777" w:rsidR="005924D3" w:rsidRDefault="005924D3" w:rsidP="0084551D"/>
        </w:tc>
        <w:tc>
          <w:tcPr>
            <w:tcW w:w="1890" w:type="dxa"/>
            <w:tcBorders>
              <w:bottom w:val="single" w:sz="4" w:space="0" w:color="auto"/>
            </w:tcBorders>
            <w:shd w:val="clear" w:color="auto" w:fill="95B3D7" w:themeFill="accent1" w:themeFillTint="99"/>
          </w:tcPr>
          <w:p w14:paraId="60189C33" w14:textId="77777777" w:rsidR="005924D3" w:rsidRPr="00E2629A" w:rsidRDefault="005924D3" w:rsidP="00981007">
            <w:pPr>
              <w:jc w:val="center"/>
              <w:rPr>
                <w:b/>
              </w:rPr>
            </w:pPr>
            <w:r>
              <w:rPr>
                <w:b/>
              </w:rPr>
              <w:t>Fiscal Year 201</w:t>
            </w:r>
            <w:r w:rsidR="00981007">
              <w:rPr>
                <w:b/>
              </w:rPr>
              <w:t>6</w:t>
            </w:r>
          </w:p>
        </w:tc>
      </w:tr>
      <w:tr w:rsidR="005924D3" w14:paraId="30E035B9" w14:textId="77777777" w:rsidTr="006400C6">
        <w:tc>
          <w:tcPr>
            <w:tcW w:w="3060" w:type="dxa"/>
            <w:tcBorders>
              <w:right w:val="single" w:sz="4" w:space="0" w:color="auto"/>
            </w:tcBorders>
          </w:tcPr>
          <w:p w14:paraId="7F1845CF" w14:textId="77777777" w:rsidR="005924D3" w:rsidRDefault="005924D3" w:rsidP="0084551D">
            <w:r>
              <w:t>Full-time equivalent employees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3B094A" w14:textId="0AF37822" w:rsidR="005924D3" w:rsidRDefault="006B2AAB" w:rsidP="0084551D">
            <w:pPr>
              <w:jc w:val="center"/>
            </w:pPr>
            <w:r>
              <w:t>1038</w:t>
            </w:r>
          </w:p>
        </w:tc>
      </w:tr>
    </w:tbl>
    <w:p w14:paraId="2479CBE2" w14:textId="77777777" w:rsidR="00493424" w:rsidRDefault="00E2629A" w:rsidP="001B1DD0">
      <w:pPr>
        <w:pStyle w:val="ListParagraph"/>
      </w:pPr>
      <w:r>
        <w:rPr>
          <w:sz w:val="18"/>
          <w:szCs w:val="18"/>
        </w:rPr>
        <w:br/>
      </w:r>
      <w:r w:rsidR="00453AAE" w:rsidRPr="00493424">
        <w:rPr>
          <w:sz w:val="18"/>
          <w:szCs w:val="18"/>
        </w:rPr>
        <w:t>Source:  Quarterly FTE reports filed with the Texas State Auditor’s Office</w:t>
      </w:r>
      <w:r w:rsidR="005924D3">
        <w:rPr>
          <w:sz w:val="18"/>
          <w:szCs w:val="18"/>
        </w:rPr>
        <w:t xml:space="preserve"> and based on four-quarter average</w:t>
      </w:r>
      <w:r w:rsidR="00A92ABA">
        <w:rPr>
          <w:sz w:val="18"/>
          <w:szCs w:val="18"/>
        </w:rPr>
        <w:t>.</w:t>
      </w:r>
      <w:r w:rsidR="00453AAE">
        <w:br/>
      </w:r>
    </w:p>
    <w:p w14:paraId="6F8F5020" w14:textId="77777777" w:rsidR="00493424" w:rsidRDefault="00453AAE" w:rsidP="00493424">
      <w:pPr>
        <w:pStyle w:val="ListParagraph"/>
        <w:numPr>
          <w:ilvl w:val="0"/>
          <w:numId w:val="1"/>
        </w:numPr>
      </w:pPr>
      <w:r>
        <w:t>the amount of legislative appropriations to the agency for each fiscal year of the current state fiscal biennium;</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gridCol w:w="1980"/>
      </w:tblGrid>
      <w:tr w:rsidR="00E2629A" w14:paraId="727B974F" w14:textId="77777777" w:rsidTr="00E113A5">
        <w:tc>
          <w:tcPr>
            <w:tcW w:w="3060" w:type="dxa"/>
          </w:tcPr>
          <w:p w14:paraId="6801D036" w14:textId="77777777" w:rsidR="00493424" w:rsidRDefault="00493424" w:rsidP="00493424"/>
        </w:tc>
        <w:tc>
          <w:tcPr>
            <w:tcW w:w="2340" w:type="dxa"/>
            <w:tcBorders>
              <w:bottom w:val="single" w:sz="4" w:space="0" w:color="auto"/>
            </w:tcBorders>
            <w:shd w:val="clear" w:color="auto" w:fill="95B3D7" w:themeFill="accent1" w:themeFillTint="99"/>
          </w:tcPr>
          <w:p w14:paraId="289D99BC" w14:textId="77777777" w:rsidR="00493424" w:rsidRPr="00E2629A" w:rsidRDefault="00493424" w:rsidP="00252853">
            <w:pPr>
              <w:jc w:val="center"/>
              <w:rPr>
                <w:b/>
              </w:rPr>
            </w:pPr>
            <w:r w:rsidRPr="00E2629A">
              <w:rPr>
                <w:b/>
              </w:rPr>
              <w:t>Fiscal Year 201</w:t>
            </w:r>
            <w:r w:rsidR="00252853">
              <w:rPr>
                <w:b/>
              </w:rPr>
              <w:t>6</w:t>
            </w:r>
          </w:p>
        </w:tc>
        <w:tc>
          <w:tcPr>
            <w:tcW w:w="1980" w:type="dxa"/>
            <w:tcBorders>
              <w:bottom w:val="single" w:sz="4" w:space="0" w:color="auto"/>
            </w:tcBorders>
            <w:shd w:val="clear" w:color="auto" w:fill="95B3D7" w:themeFill="accent1" w:themeFillTint="99"/>
          </w:tcPr>
          <w:p w14:paraId="411F8D46" w14:textId="77777777" w:rsidR="00493424" w:rsidRPr="00E2629A" w:rsidRDefault="00493424" w:rsidP="00252853">
            <w:pPr>
              <w:jc w:val="center"/>
              <w:rPr>
                <w:b/>
              </w:rPr>
            </w:pPr>
            <w:r w:rsidRPr="00E2629A">
              <w:rPr>
                <w:b/>
              </w:rPr>
              <w:t>Fiscal Year 201</w:t>
            </w:r>
            <w:r w:rsidR="00252853">
              <w:rPr>
                <w:b/>
              </w:rPr>
              <w:t>7</w:t>
            </w:r>
          </w:p>
        </w:tc>
      </w:tr>
      <w:tr w:rsidR="00E2629A" w14:paraId="606FEEDD" w14:textId="77777777" w:rsidTr="006400C6">
        <w:tc>
          <w:tcPr>
            <w:tcW w:w="3060" w:type="dxa"/>
            <w:tcBorders>
              <w:right w:val="single" w:sz="4" w:space="0" w:color="auto"/>
            </w:tcBorders>
          </w:tcPr>
          <w:p w14:paraId="0A68AC96" w14:textId="77777777" w:rsidR="00493424" w:rsidRDefault="007F3E4C" w:rsidP="007F3E4C">
            <w:r>
              <w:t>Total Appropriation All</w:t>
            </w:r>
            <w:r w:rsidR="00493424">
              <w:t xml:space="preserve"> Fund</w:t>
            </w:r>
            <w:r>
              <w: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B1A5C5" w14:textId="2B2060EB" w:rsidR="00493424" w:rsidRPr="00F5758B" w:rsidRDefault="006B2AAB" w:rsidP="007F3E4C">
            <w:pPr>
              <w:jc w:val="center"/>
              <w:rPr>
                <w:highlight w:val="yellow"/>
              </w:rPr>
            </w:pPr>
            <w:r w:rsidRPr="006400C6">
              <w:t>41,657,725</w:t>
            </w:r>
            <w:r w:rsidR="00F5758B" w:rsidRPr="006400C6">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316801" w14:textId="2C4F3140" w:rsidR="00493424" w:rsidRPr="00F5758B" w:rsidRDefault="006B2AAB" w:rsidP="007F3E4C">
            <w:pPr>
              <w:jc w:val="center"/>
              <w:rPr>
                <w:highlight w:val="yellow"/>
              </w:rPr>
            </w:pPr>
            <w:r w:rsidRPr="006400C6">
              <w:t>41,762,135</w:t>
            </w:r>
          </w:p>
        </w:tc>
      </w:tr>
    </w:tbl>
    <w:p w14:paraId="412B81E8" w14:textId="77777777" w:rsidR="00453AAE" w:rsidRDefault="00453AAE" w:rsidP="00493424">
      <w:pPr>
        <w:pStyle w:val="ListParagraph"/>
      </w:pPr>
      <w:r>
        <w:br/>
      </w:r>
      <w:r w:rsidR="00E2629A" w:rsidRPr="00493424">
        <w:rPr>
          <w:sz w:val="18"/>
          <w:szCs w:val="18"/>
        </w:rPr>
        <w:t xml:space="preserve">Source:  </w:t>
      </w:r>
      <w:r w:rsidR="00E2629A">
        <w:rPr>
          <w:sz w:val="18"/>
          <w:szCs w:val="18"/>
        </w:rPr>
        <w:t>8</w:t>
      </w:r>
      <w:r w:rsidR="003A0F74">
        <w:rPr>
          <w:sz w:val="18"/>
          <w:szCs w:val="18"/>
        </w:rPr>
        <w:t>4</w:t>
      </w:r>
      <w:r w:rsidR="003A0F74" w:rsidRPr="003A0F74">
        <w:rPr>
          <w:sz w:val="18"/>
          <w:szCs w:val="18"/>
          <w:vertAlign w:val="superscript"/>
        </w:rPr>
        <w:t>th</w:t>
      </w:r>
      <w:r w:rsidR="003A0F74">
        <w:rPr>
          <w:sz w:val="18"/>
          <w:szCs w:val="18"/>
        </w:rPr>
        <w:t xml:space="preserve"> </w:t>
      </w:r>
      <w:r w:rsidR="00E2629A">
        <w:rPr>
          <w:sz w:val="18"/>
          <w:szCs w:val="18"/>
        </w:rPr>
        <w:t xml:space="preserve">Legislative Session, </w:t>
      </w:r>
      <w:r w:rsidR="00E2629A" w:rsidRPr="00E2629A">
        <w:rPr>
          <w:i/>
          <w:sz w:val="18"/>
          <w:szCs w:val="18"/>
        </w:rPr>
        <w:t>General Appropriations Act</w:t>
      </w:r>
      <w:r w:rsidR="00E2629A">
        <w:rPr>
          <w:sz w:val="18"/>
          <w:szCs w:val="18"/>
        </w:rPr>
        <w:t>, Article III</w:t>
      </w:r>
      <w:r w:rsidR="00A92ABA">
        <w:rPr>
          <w:sz w:val="18"/>
          <w:szCs w:val="18"/>
        </w:rPr>
        <w:t xml:space="preserve">.  The amounts shown </w:t>
      </w:r>
      <w:r w:rsidR="007F3E4C">
        <w:rPr>
          <w:sz w:val="18"/>
          <w:szCs w:val="18"/>
        </w:rPr>
        <w:t xml:space="preserve">include direct </w:t>
      </w:r>
      <w:r w:rsidR="004C3F92">
        <w:rPr>
          <w:sz w:val="18"/>
          <w:szCs w:val="18"/>
        </w:rPr>
        <w:t>appropriations</w:t>
      </w:r>
      <w:r w:rsidR="00F5758B">
        <w:rPr>
          <w:sz w:val="18"/>
          <w:szCs w:val="18"/>
        </w:rPr>
        <w:t xml:space="preserve"> from all funds.</w:t>
      </w:r>
      <w:r w:rsidR="00E2629A">
        <w:br/>
      </w:r>
    </w:p>
    <w:p w14:paraId="3D237128" w14:textId="5982E216" w:rsidR="00461969" w:rsidRDefault="00453AAE" w:rsidP="00461969">
      <w:pPr>
        <w:pStyle w:val="ListParagraph"/>
        <w:numPr>
          <w:ilvl w:val="0"/>
          <w:numId w:val="1"/>
        </w:numPr>
      </w:pPr>
      <w:r>
        <w:t>the agency’s methodology, including any employment market analysis, for determine the compensation of executive staff employed by the agency, along with the name and position of the person who selected the methodology;</w:t>
      </w:r>
      <w:r>
        <w:br/>
      </w:r>
      <w:r w:rsidR="00F5758B">
        <w:br/>
      </w:r>
      <w:r w:rsidR="00461969" w:rsidRPr="00461969">
        <w:t xml:space="preserve">The U. T. System Board of Regents has adopted Regents’ </w:t>
      </w:r>
      <w:r w:rsidR="00461969" w:rsidRPr="00461969">
        <w:rPr>
          <w:i/>
        </w:rPr>
        <w:t>Rules and Regulations</w:t>
      </w:r>
      <w:r w:rsidR="00461969" w:rsidRPr="00461969">
        <w:t xml:space="preserve">, Rule 20203, relating to compensation for key executives.  Key executives are defined as the Chancellor, </w:t>
      </w:r>
      <w:r w:rsidR="007C741A">
        <w:t xml:space="preserve">Deputy Chancellor, </w:t>
      </w:r>
      <w:r w:rsidR="00461969" w:rsidRPr="00461969">
        <w:t>General Counsel to the Board, Chief Audit Executive, Executive Vice Chancellors, presidents of each of the U. T. System academic and health institutions, and Vice Chancellors.  Rule 20203 states that the elements of compensation for key employees “may include and are limited to base salary; short and long-term incentive pay; supplemental retirement plans, such as deferred compensation plans; one-time merit pay; special provisions necessary to recruit an individual to a key executive position, such as salary supplement for a limited time or one-time relocation payment as necessary and prudent to recruit the top talent for the position; and perquisites such as memberships, parking privileges, and provision of or allowance for cell phone and/or other mobile communication devices</w:t>
      </w:r>
      <w:r w:rsidR="00461969" w:rsidRPr="00C5093A">
        <w:t xml:space="preserve"> as determined necessary for business purposes and as covered in individual agreements</w:t>
      </w:r>
      <w:r w:rsidR="00461969">
        <w:t>.”</w:t>
      </w:r>
    </w:p>
    <w:p w14:paraId="13B8D723" w14:textId="77777777" w:rsidR="00461969" w:rsidRDefault="00461969" w:rsidP="00461969">
      <w:pPr>
        <w:pStyle w:val="ListParagraph"/>
      </w:pPr>
    </w:p>
    <w:p w14:paraId="352217C2" w14:textId="597E8CF9" w:rsidR="00461969" w:rsidRDefault="00461969" w:rsidP="00461969">
      <w:pPr>
        <w:pStyle w:val="ListParagraph"/>
      </w:pPr>
      <w:r>
        <w:t xml:space="preserve">Rule 20203, Section 2 outlines procedures for the Office of the Board of Regents to oversee and conduct a comprehensive survey and analysis to obtain current and reliable market data on total compensation of key executives in comparable positions at peer institutions.  Market data </w:t>
      </w:r>
      <w:r>
        <w:lastRenderedPageBreak/>
        <w:t>is adjusted using cost of living information related to a respondent’s geographic region.  The survey is conducted every three years.  In non-survey years, the Office of the Board of Regents is to obtain information concerning general changes in executive compensation in the marketplace, and the comprehensive survey is to be adjusted accordingly.</w:t>
      </w:r>
    </w:p>
    <w:p w14:paraId="77F6303C" w14:textId="77777777" w:rsidR="00461969" w:rsidRDefault="00461969" w:rsidP="00461969">
      <w:pPr>
        <w:pStyle w:val="ListParagraph"/>
      </w:pPr>
    </w:p>
    <w:p w14:paraId="0B28DAF1" w14:textId="63EB4E41" w:rsidR="00954AC5" w:rsidRDefault="007C741A" w:rsidP="00954AC5">
      <w:pPr>
        <w:pStyle w:val="ListParagraph"/>
      </w:pPr>
      <w:r w:rsidRPr="007C741A">
        <w:t>In August 2016, a Report of Executive Compensation was prepared by Buck Consultants related to key executive compensation and presented to the U. T. System Board of Regents.  The Office of the Board of Regents selected Buck Consultants through a competitive process to prepare the compensation analysis. The survey indicated that U. T. System maintains a competitive position relative to compensation practices in its primary markets (comparable public and private higher education systems and institutions).</w:t>
      </w:r>
    </w:p>
    <w:p w14:paraId="7C821474" w14:textId="77777777" w:rsidR="007C741A" w:rsidRDefault="007C741A" w:rsidP="00954AC5">
      <w:pPr>
        <w:pStyle w:val="ListParagraph"/>
        <w:rPr>
          <w:sz w:val="18"/>
          <w:szCs w:val="18"/>
        </w:rPr>
      </w:pPr>
      <w:bookmarkStart w:id="0" w:name="_GoBack"/>
      <w:bookmarkEnd w:id="0"/>
    </w:p>
    <w:p w14:paraId="47B1E57D" w14:textId="77777777" w:rsidR="00954AC5" w:rsidRDefault="00954AC5" w:rsidP="00954AC5">
      <w:pPr>
        <w:pStyle w:val="ListParagraph"/>
        <w:rPr>
          <w:rFonts w:cstheme="minorHAnsi"/>
          <w:color w:val="1F497D"/>
        </w:rPr>
      </w:pPr>
      <w:r w:rsidRPr="00954AC5">
        <w:rPr>
          <w:sz w:val="18"/>
          <w:szCs w:val="18"/>
        </w:rPr>
        <w:t xml:space="preserve">Source:  Buck Consultants; U. T. System Regents’ </w:t>
      </w:r>
      <w:r w:rsidRPr="00954AC5">
        <w:rPr>
          <w:i/>
          <w:sz w:val="18"/>
          <w:szCs w:val="18"/>
        </w:rPr>
        <w:t xml:space="preserve">Rules and Regulations; </w:t>
      </w:r>
      <w:r w:rsidRPr="00954AC5">
        <w:rPr>
          <w:sz w:val="18"/>
          <w:szCs w:val="18"/>
        </w:rPr>
        <w:t>College and University Professional</w:t>
      </w:r>
      <w:r w:rsidRPr="00954AC5">
        <w:rPr>
          <w:color w:val="1F497D"/>
        </w:rPr>
        <w:t xml:space="preserve"> </w:t>
      </w:r>
      <w:r w:rsidRPr="00954AC5">
        <w:rPr>
          <w:sz w:val="18"/>
          <w:szCs w:val="18"/>
        </w:rPr>
        <w:t>Association for Human Resources:</w:t>
      </w:r>
      <w:r w:rsidRPr="00954AC5">
        <w:rPr>
          <w:color w:val="1F497D"/>
        </w:rPr>
        <w:t xml:space="preserve"> </w:t>
      </w:r>
      <w:hyperlink r:id="rId14" w:history="1">
        <w:r w:rsidRPr="00954AC5">
          <w:rPr>
            <w:sz w:val="18"/>
            <w:szCs w:val="18"/>
            <w:u w:val="single"/>
          </w:rPr>
          <w:t>http://www.cupahr.org/news/item.aspx?id=10285</w:t>
        </w:r>
      </w:hyperlink>
      <w:r w:rsidRPr="00954AC5">
        <w:rPr>
          <w:rFonts w:cstheme="minorHAnsi"/>
          <w:color w:val="1F497D"/>
        </w:rPr>
        <w:t>.</w:t>
      </w:r>
    </w:p>
    <w:p w14:paraId="7B587261" w14:textId="77777777" w:rsidR="00954AC5" w:rsidRPr="00F5758B" w:rsidRDefault="00954AC5" w:rsidP="00954AC5">
      <w:pPr>
        <w:pStyle w:val="ListParagraph"/>
      </w:pPr>
    </w:p>
    <w:p w14:paraId="3E5F57F5" w14:textId="56D22BD9" w:rsidR="00CE37CF" w:rsidRDefault="00D27DE1" w:rsidP="00F5758B">
      <w:pPr>
        <w:pStyle w:val="ListParagraph"/>
        <w:numPr>
          <w:ilvl w:val="0"/>
          <w:numId w:val="1"/>
        </w:numPr>
      </w:pPr>
      <w:r>
        <w:t>W</w:t>
      </w:r>
      <w:r w:rsidR="00453AAE">
        <w:t>hether executive staff are eligible for a salary supplement</w:t>
      </w:r>
      <w:proofErr w:type="gramStart"/>
      <w:r w:rsidR="00453AAE">
        <w:t>;</w:t>
      </w:r>
      <w:proofErr w:type="gramEnd"/>
      <w:r w:rsidR="00587C9F">
        <w:br/>
      </w:r>
      <w:r w:rsidR="00587C9F">
        <w:br/>
      </w:r>
      <w:r w:rsidR="0050006D">
        <w:t xml:space="preserve">The </w:t>
      </w:r>
      <w:r w:rsidR="0050006D" w:rsidRPr="0050006D">
        <w:t xml:space="preserve">President is the only individual receiving a salary supplement meeting the requirements of the </w:t>
      </w:r>
      <w:r w:rsidR="0050006D" w:rsidRPr="00CE37CF">
        <w:rPr>
          <w:i/>
        </w:rPr>
        <w:t>General Appropriations Act (GAA)</w:t>
      </w:r>
      <w:r w:rsidR="0050006D" w:rsidRPr="0050006D">
        <w:t xml:space="preserve">, Article IX, Section 3.02. </w:t>
      </w:r>
      <w:r w:rsidR="00C11720">
        <w:t xml:space="preserve">The President is eligible for </w:t>
      </w:r>
      <w:r w:rsidR="0050006D">
        <w:t xml:space="preserve">a </w:t>
      </w:r>
      <w:r w:rsidR="00C11720">
        <w:t xml:space="preserve">salary supplement per the </w:t>
      </w:r>
      <w:r w:rsidR="00C11720" w:rsidRPr="00CE37CF">
        <w:rPr>
          <w:i/>
        </w:rPr>
        <w:t>GAA</w:t>
      </w:r>
      <w:r w:rsidR="00C11720">
        <w:t>, Article III, Special Provisions, Section 5</w:t>
      </w:r>
      <w:r w:rsidR="00AC41D4">
        <w:t>,</w:t>
      </w:r>
      <w:r w:rsidR="00C11720">
        <w:t xml:space="preserve"> Paragraph 2.  It is not the current policy of </w:t>
      </w:r>
      <w:r w:rsidR="0050006D">
        <w:t xml:space="preserve">the </w:t>
      </w:r>
      <w:r w:rsidR="00C11720">
        <w:t xml:space="preserve">U. T. System to accept gifts, grants, donations, or other consideration </w:t>
      </w:r>
      <w:r w:rsidR="00CD4204">
        <w:t xml:space="preserve">specifically </w:t>
      </w:r>
      <w:r w:rsidR="00C11720">
        <w:t>designated by a donor for salary supplements.</w:t>
      </w:r>
    </w:p>
    <w:p w14:paraId="6ABE221A" w14:textId="77777777" w:rsidR="003A0F74" w:rsidRDefault="003A0F74" w:rsidP="003A0F74">
      <w:pPr>
        <w:pStyle w:val="ListParagraph"/>
      </w:pPr>
    </w:p>
    <w:p w14:paraId="1B2F1FF5" w14:textId="2C6AE2E1" w:rsidR="00AC41D4" w:rsidRPr="00AC41D4" w:rsidRDefault="00453AAE" w:rsidP="00F5758B">
      <w:pPr>
        <w:pStyle w:val="ListParagraph"/>
        <w:numPr>
          <w:ilvl w:val="0"/>
          <w:numId w:val="1"/>
        </w:numPr>
      </w:pPr>
      <w:r>
        <w:t>the market average for compensation of similar executive staff in the private and public sectors;</w:t>
      </w:r>
      <w:r>
        <w:br/>
      </w:r>
      <w:r>
        <w:br/>
      </w:r>
      <w:r w:rsidR="00AC41D4">
        <w:t xml:space="preserve">An analysis was performed by Buck Consultants of peer institutions and this analysis found that the president’s total </w:t>
      </w:r>
      <w:r w:rsidR="00463665">
        <w:t xml:space="preserve">direct </w:t>
      </w:r>
      <w:r w:rsidR="00AC41D4">
        <w:t xml:space="preserve">compensation </w:t>
      </w:r>
      <w:r w:rsidR="00461969">
        <w:t xml:space="preserve">as it relates to the study period </w:t>
      </w:r>
      <w:r w:rsidR="00AC41D4">
        <w:t xml:space="preserve">was found </w:t>
      </w:r>
      <w:r w:rsidR="00AC41D4" w:rsidRPr="001318F1">
        <w:t>to be</w:t>
      </w:r>
      <w:r w:rsidR="00C32E02" w:rsidRPr="001318F1">
        <w:t xml:space="preserve"> </w:t>
      </w:r>
      <w:r w:rsidR="001318F1" w:rsidRPr="001318F1">
        <w:t>75th</w:t>
      </w:r>
      <w:r w:rsidR="00C32E02" w:rsidRPr="001318F1">
        <w:t xml:space="preserve"> percentile</w:t>
      </w:r>
      <w:r w:rsidR="00C32E02">
        <w:t xml:space="preserve"> of peers.</w:t>
      </w:r>
    </w:p>
    <w:p w14:paraId="1BB8D244" w14:textId="77777777" w:rsidR="001318F1" w:rsidRDefault="00F5758B" w:rsidP="001318F1">
      <w:pPr>
        <w:ind w:left="720"/>
        <w:rPr>
          <w:sz w:val="18"/>
          <w:szCs w:val="18"/>
        </w:rPr>
      </w:pPr>
      <w:r w:rsidRPr="00C32E02">
        <w:rPr>
          <w:sz w:val="18"/>
          <w:szCs w:val="18"/>
        </w:rPr>
        <w:t>Source:</w:t>
      </w:r>
      <w:r w:rsidRPr="00AC41D4">
        <w:rPr>
          <w:sz w:val="18"/>
          <w:szCs w:val="18"/>
        </w:rPr>
        <w:t xml:space="preserve">  </w:t>
      </w:r>
      <w:r w:rsidR="00C32E02">
        <w:rPr>
          <w:sz w:val="18"/>
          <w:szCs w:val="18"/>
        </w:rPr>
        <w:t xml:space="preserve">Buck Consultants; </w:t>
      </w:r>
      <w:r w:rsidR="001318F1">
        <w:rPr>
          <w:sz w:val="18"/>
          <w:szCs w:val="18"/>
        </w:rPr>
        <w:t xml:space="preserve">U. T. System Regents’ </w:t>
      </w:r>
      <w:r w:rsidR="001318F1">
        <w:rPr>
          <w:i/>
          <w:sz w:val="18"/>
          <w:szCs w:val="18"/>
        </w:rPr>
        <w:t xml:space="preserve">Rules and </w:t>
      </w:r>
      <w:r w:rsidR="001318F1" w:rsidRPr="0012235C">
        <w:rPr>
          <w:i/>
          <w:sz w:val="18"/>
          <w:szCs w:val="18"/>
        </w:rPr>
        <w:t>Regulations</w:t>
      </w:r>
      <w:r w:rsidR="001318F1">
        <w:rPr>
          <w:sz w:val="18"/>
          <w:szCs w:val="18"/>
        </w:rPr>
        <w:t xml:space="preserve"> </w:t>
      </w:r>
    </w:p>
    <w:p w14:paraId="6E78AD27" w14:textId="4D387CC8" w:rsidR="005924D3" w:rsidRDefault="00453AAE" w:rsidP="001318F1">
      <w:pPr>
        <w:pStyle w:val="ListParagraph"/>
        <w:numPr>
          <w:ilvl w:val="0"/>
          <w:numId w:val="1"/>
        </w:numPr>
      </w:pPr>
      <w:r>
        <w:t>the average compensation paid to employees employed by the agency who are not executive staff; and</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10"/>
      </w:tblGrid>
      <w:tr w:rsidR="005924D3" w14:paraId="1F1B869B" w14:textId="77777777" w:rsidTr="005924D3">
        <w:tc>
          <w:tcPr>
            <w:tcW w:w="3510" w:type="dxa"/>
          </w:tcPr>
          <w:p w14:paraId="26979BF1" w14:textId="77777777" w:rsidR="005924D3" w:rsidRDefault="005924D3" w:rsidP="0084551D"/>
        </w:tc>
        <w:tc>
          <w:tcPr>
            <w:tcW w:w="1710" w:type="dxa"/>
            <w:tcBorders>
              <w:bottom w:val="single" w:sz="4" w:space="0" w:color="auto"/>
            </w:tcBorders>
            <w:shd w:val="clear" w:color="auto" w:fill="95B3D7" w:themeFill="accent1" w:themeFillTint="99"/>
          </w:tcPr>
          <w:p w14:paraId="2146403F" w14:textId="77777777" w:rsidR="005924D3" w:rsidRPr="00E2629A" w:rsidRDefault="005924D3" w:rsidP="00981007">
            <w:pPr>
              <w:jc w:val="center"/>
              <w:rPr>
                <w:b/>
              </w:rPr>
            </w:pPr>
            <w:r>
              <w:rPr>
                <w:b/>
              </w:rPr>
              <w:t>Fiscal Year 201</w:t>
            </w:r>
            <w:r w:rsidR="00981007">
              <w:rPr>
                <w:b/>
              </w:rPr>
              <w:t>6</w:t>
            </w:r>
          </w:p>
        </w:tc>
      </w:tr>
      <w:tr w:rsidR="005924D3" w14:paraId="5001063B" w14:textId="77777777" w:rsidTr="006400C6">
        <w:tc>
          <w:tcPr>
            <w:tcW w:w="3510" w:type="dxa"/>
            <w:tcBorders>
              <w:right w:val="single" w:sz="4" w:space="0" w:color="auto"/>
            </w:tcBorders>
          </w:tcPr>
          <w:p w14:paraId="7E07BA5A" w14:textId="77777777" w:rsidR="005924D3" w:rsidRDefault="005924D3" w:rsidP="0084551D">
            <w:r>
              <w:t>Average compensation paid to staff</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850AEE" w14:textId="2DFCEFF3" w:rsidR="005924D3" w:rsidRDefault="001C25D2" w:rsidP="0084551D">
            <w:pPr>
              <w:jc w:val="center"/>
            </w:pPr>
            <w:r>
              <w:t>46,276</w:t>
            </w:r>
          </w:p>
        </w:tc>
      </w:tr>
    </w:tbl>
    <w:p w14:paraId="5258E0FF" w14:textId="77777777" w:rsidR="00E113A5" w:rsidRDefault="00E113A5" w:rsidP="00E113A5">
      <w:pPr>
        <w:pStyle w:val="ListParagraph"/>
      </w:pPr>
    </w:p>
    <w:p w14:paraId="36BC6F21" w14:textId="77777777" w:rsidR="00F5758B" w:rsidRDefault="00F5758B" w:rsidP="00A273AE">
      <w:pPr>
        <w:ind w:left="720"/>
      </w:pPr>
      <w:r w:rsidRPr="00493424">
        <w:rPr>
          <w:sz w:val="18"/>
          <w:szCs w:val="18"/>
        </w:rPr>
        <w:t xml:space="preserve">Source:  </w:t>
      </w:r>
      <w:r>
        <w:rPr>
          <w:sz w:val="18"/>
          <w:szCs w:val="18"/>
        </w:rPr>
        <w:t xml:space="preserve">Texas State Auditor Workforce Summary Document using self-reported information from the </w:t>
      </w:r>
      <w:r w:rsidR="00AE1580">
        <w:rPr>
          <w:sz w:val="18"/>
          <w:szCs w:val="18"/>
        </w:rPr>
        <w:t>institution</w:t>
      </w:r>
      <w:r w:rsidR="00A273AE">
        <w:rPr>
          <w:sz w:val="18"/>
          <w:szCs w:val="18"/>
        </w:rPr>
        <w:t xml:space="preserve"> </w:t>
      </w:r>
      <w:r w:rsidR="00A273AE" w:rsidRPr="00A273AE">
        <w:rPr>
          <w:rFonts w:cstheme="minorHAnsi"/>
          <w:color w:val="000000" w:themeColor="text1"/>
          <w:sz w:val="18"/>
          <w:szCs w:val="18"/>
        </w:rPr>
        <w:t>(note:  ins</w:t>
      </w:r>
      <w:r w:rsidR="00A273AE">
        <w:rPr>
          <w:rFonts w:cstheme="minorHAnsi"/>
          <w:color w:val="000000" w:themeColor="text1"/>
          <w:sz w:val="18"/>
          <w:szCs w:val="18"/>
        </w:rPr>
        <w:t xml:space="preserve">titutions may find this report </w:t>
      </w:r>
      <w:r w:rsidR="00A273AE" w:rsidRPr="00A273AE">
        <w:rPr>
          <w:rFonts w:cstheme="minorHAnsi"/>
          <w:color w:val="000000" w:themeColor="text1"/>
          <w:sz w:val="18"/>
          <w:szCs w:val="18"/>
        </w:rPr>
        <w:t xml:space="preserve">at </w:t>
      </w:r>
      <w:hyperlink r:id="rId15" w:history="1">
        <w:r w:rsidR="00A273AE" w:rsidRPr="00A273AE">
          <w:rPr>
            <w:rStyle w:val="Hyperlink"/>
            <w:rFonts w:asciiTheme="minorHAnsi" w:hAnsiTheme="minorHAnsi" w:cstheme="minorHAnsi"/>
            <w:color w:val="000000" w:themeColor="text1"/>
            <w:sz w:val="18"/>
            <w:szCs w:val="18"/>
          </w:rPr>
          <w:t>http://www.hr.sao.state.tx.us/Publications/wfsummaries.aspx</w:t>
        </w:r>
      </w:hyperlink>
      <w:r w:rsidR="00A273AE" w:rsidRPr="00A273AE">
        <w:rPr>
          <w:rFonts w:cstheme="minorHAnsi"/>
          <w:color w:val="000000" w:themeColor="text1"/>
          <w:sz w:val="18"/>
          <w:szCs w:val="18"/>
        </w:rPr>
        <w:t xml:space="preserve"> - current data will need to be obtained from your HR Office)</w:t>
      </w:r>
    </w:p>
    <w:p w14:paraId="76000C51" w14:textId="77777777" w:rsidR="00B34369" w:rsidRDefault="00453AAE" w:rsidP="00453AAE">
      <w:pPr>
        <w:pStyle w:val="ListParagraph"/>
        <w:numPr>
          <w:ilvl w:val="0"/>
          <w:numId w:val="1"/>
        </w:numPr>
      </w:pPr>
      <w:r>
        <w:t xml:space="preserve">the percentage increase in compensation of executive staff for each fiscal year of the five preceding fiscal years and the percentage increase in legislative appropriations to the agency </w:t>
      </w:r>
      <w:r>
        <w:lastRenderedPageBreak/>
        <w:t>each fiscal year of the five preceding fiscal years.</w:t>
      </w:r>
      <w:r w:rsidR="00B34369">
        <w:br/>
      </w:r>
    </w:p>
    <w:tbl>
      <w:tblPr>
        <w:tblStyle w:val="TableGrid"/>
        <w:tblW w:w="0" w:type="auto"/>
        <w:tblInd w:w="720" w:type="dxa"/>
        <w:tblLook w:val="04A0" w:firstRow="1" w:lastRow="0" w:firstColumn="1" w:lastColumn="0" w:noHBand="0" w:noVBand="1"/>
      </w:tblPr>
      <w:tblGrid>
        <w:gridCol w:w="3892"/>
        <w:gridCol w:w="942"/>
        <w:gridCol w:w="949"/>
        <w:gridCol w:w="949"/>
        <w:gridCol w:w="949"/>
        <w:gridCol w:w="949"/>
      </w:tblGrid>
      <w:tr w:rsidR="003A0F74" w:rsidRPr="00B34369" w14:paraId="525D6311" w14:textId="77777777" w:rsidTr="00653F0D">
        <w:trPr>
          <w:trHeight w:val="350"/>
        </w:trPr>
        <w:tc>
          <w:tcPr>
            <w:tcW w:w="3892" w:type="dxa"/>
            <w:shd w:val="clear" w:color="auto" w:fill="95B3D7" w:themeFill="accent1" w:themeFillTint="99"/>
          </w:tcPr>
          <w:p w14:paraId="7AE57CA1" w14:textId="77777777" w:rsidR="003A0F74" w:rsidRPr="00B34369" w:rsidRDefault="003A0F74" w:rsidP="00B34369">
            <w:pPr>
              <w:jc w:val="center"/>
              <w:rPr>
                <w:b/>
                <w:sz w:val="20"/>
                <w:szCs w:val="20"/>
              </w:rPr>
            </w:pPr>
            <w:r>
              <w:rPr>
                <w:b/>
                <w:sz w:val="20"/>
                <w:szCs w:val="20"/>
              </w:rPr>
              <w:t>Executive Staff</w:t>
            </w:r>
          </w:p>
        </w:tc>
        <w:tc>
          <w:tcPr>
            <w:tcW w:w="942" w:type="dxa"/>
            <w:shd w:val="clear" w:color="auto" w:fill="95B3D7" w:themeFill="accent1" w:themeFillTint="99"/>
          </w:tcPr>
          <w:p w14:paraId="50EB1A68" w14:textId="77777777" w:rsidR="003A0F74" w:rsidRPr="00B34369" w:rsidRDefault="003A0F74" w:rsidP="00981007">
            <w:pPr>
              <w:jc w:val="center"/>
              <w:rPr>
                <w:b/>
                <w:sz w:val="18"/>
                <w:szCs w:val="18"/>
              </w:rPr>
            </w:pPr>
            <w:r w:rsidRPr="00B34369">
              <w:rPr>
                <w:b/>
                <w:sz w:val="18"/>
                <w:szCs w:val="18"/>
              </w:rPr>
              <w:t>FY 201</w:t>
            </w:r>
            <w:r w:rsidR="00981007">
              <w:rPr>
                <w:b/>
                <w:sz w:val="18"/>
                <w:szCs w:val="18"/>
              </w:rPr>
              <w:t>2</w:t>
            </w:r>
          </w:p>
        </w:tc>
        <w:tc>
          <w:tcPr>
            <w:tcW w:w="949" w:type="dxa"/>
            <w:shd w:val="clear" w:color="auto" w:fill="95B3D7" w:themeFill="accent1" w:themeFillTint="99"/>
          </w:tcPr>
          <w:p w14:paraId="6660F39A" w14:textId="77777777" w:rsidR="003A0F74" w:rsidRPr="00B34369" w:rsidRDefault="003A0F74" w:rsidP="00981007">
            <w:pPr>
              <w:jc w:val="center"/>
              <w:rPr>
                <w:b/>
                <w:sz w:val="18"/>
                <w:szCs w:val="18"/>
              </w:rPr>
            </w:pPr>
            <w:r w:rsidRPr="00B34369">
              <w:rPr>
                <w:b/>
                <w:sz w:val="18"/>
                <w:szCs w:val="18"/>
              </w:rPr>
              <w:t>FY 201</w:t>
            </w:r>
            <w:r w:rsidR="00981007">
              <w:rPr>
                <w:b/>
                <w:sz w:val="18"/>
                <w:szCs w:val="18"/>
              </w:rPr>
              <w:t>3</w:t>
            </w:r>
          </w:p>
        </w:tc>
        <w:tc>
          <w:tcPr>
            <w:tcW w:w="949" w:type="dxa"/>
            <w:shd w:val="clear" w:color="auto" w:fill="95B3D7" w:themeFill="accent1" w:themeFillTint="99"/>
          </w:tcPr>
          <w:p w14:paraId="306E4366" w14:textId="77777777" w:rsidR="003A0F74" w:rsidRPr="00B34369" w:rsidRDefault="003A0F74" w:rsidP="00981007">
            <w:pPr>
              <w:jc w:val="center"/>
              <w:rPr>
                <w:b/>
                <w:sz w:val="18"/>
                <w:szCs w:val="18"/>
              </w:rPr>
            </w:pPr>
            <w:r w:rsidRPr="00B34369">
              <w:rPr>
                <w:b/>
                <w:sz w:val="18"/>
                <w:szCs w:val="18"/>
              </w:rPr>
              <w:t>FY 201</w:t>
            </w:r>
            <w:r w:rsidR="00981007">
              <w:rPr>
                <w:b/>
                <w:sz w:val="18"/>
                <w:szCs w:val="18"/>
              </w:rPr>
              <w:t>4</w:t>
            </w:r>
          </w:p>
        </w:tc>
        <w:tc>
          <w:tcPr>
            <w:tcW w:w="949" w:type="dxa"/>
            <w:shd w:val="clear" w:color="auto" w:fill="95B3D7" w:themeFill="accent1" w:themeFillTint="99"/>
          </w:tcPr>
          <w:p w14:paraId="111C5B7A" w14:textId="77777777" w:rsidR="003A0F74" w:rsidRPr="00B34369" w:rsidRDefault="003A0F74" w:rsidP="00981007">
            <w:pPr>
              <w:jc w:val="center"/>
              <w:rPr>
                <w:b/>
                <w:sz w:val="18"/>
                <w:szCs w:val="18"/>
              </w:rPr>
            </w:pPr>
            <w:r w:rsidRPr="00B34369">
              <w:rPr>
                <w:b/>
                <w:sz w:val="18"/>
                <w:szCs w:val="18"/>
              </w:rPr>
              <w:t>FY 201</w:t>
            </w:r>
            <w:r w:rsidR="00981007">
              <w:rPr>
                <w:b/>
                <w:sz w:val="18"/>
                <w:szCs w:val="18"/>
              </w:rPr>
              <w:t>5</w:t>
            </w:r>
          </w:p>
        </w:tc>
        <w:tc>
          <w:tcPr>
            <w:tcW w:w="949" w:type="dxa"/>
            <w:shd w:val="clear" w:color="auto" w:fill="95B3D7" w:themeFill="accent1" w:themeFillTint="99"/>
          </w:tcPr>
          <w:p w14:paraId="07EE0C60" w14:textId="77777777" w:rsidR="003A0F74" w:rsidRPr="00B34369" w:rsidRDefault="003A0F74" w:rsidP="00981007">
            <w:pPr>
              <w:jc w:val="center"/>
              <w:rPr>
                <w:b/>
                <w:sz w:val="18"/>
                <w:szCs w:val="18"/>
              </w:rPr>
            </w:pPr>
            <w:r w:rsidRPr="00B34369">
              <w:rPr>
                <w:b/>
                <w:sz w:val="18"/>
                <w:szCs w:val="18"/>
              </w:rPr>
              <w:t>FY 201</w:t>
            </w:r>
            <w:r w:rsidR="00981007">
              <w:rPr>
                <w:b/>
                <w:sz w:val="18"/>
                <w:szCs w:val="18"/>
              </w:rPr>
              <w:t>6</w:t>
            </w:r>
          </w:p>
        </w:tc>
      </w:tr>
      <w:tr w:rsidR="00653F0D" w14:paraId="3866887A" w14:textId="77777777" w:rsidTr="006400C6">
        <w:tc>
          <w:tcPr>
            <w:tcW w:w="3892" w:type="dxa"/>
            <w:shd w:val="clear" w:color="auto" w:fill="auto"/>
          </w:tcPr>
          <w:p w14:paraId="63AE52BF" w14:textId="7F6FD2A0" w:rsidR="00653F0D" w:rsidRPr="001C25D2" w:rsidRDefault="00653F0D" w:rsidP="00653F0D">
            <w:pPr>
              <w:rPr>
                <w:rFonts w:eastAsia="Arial Unicode MS" w:cs="Arial Unicode MS"/>
              </w:rPr>
            </w:pPr>
            <w:r w:rsidRPr="001C25D2">
              <w:rPr>
                <w:rFonts w:eastAsia="Arial Unicode MS" w:cs="Arial Unicode MS"/>
              </w:rPr>
              <w:t>President</w:t>
            </w:r>
          </w:p>
        </w:tc>
        <w:tc>
          <w:tcPr>
            <w:tcW w:w="942" w:type="dxa"/>
            <w:shd w:val="clear" w:color="auto" w:fill="auto"/>
          </w:tcPr>
          <w:p w14:paraId="31A965D8" w14:textId="078D62FB" w:rsidR="00653F0D" w:rsidRPr="0064329A" w:rsidRDefault="00653F0D" w:rsidP="00653F0D">
            <w:pPr>
              <w:jc w:val="center"/>
              <w:rPr>
                <w:sz w:val="20"/>
              </w:rPr>
            </w:pPr>
            <w:r w:rsidRPr="0064329A">
              <w:rPr>
                <w:sz w:val="20"/>
              </w:rPr>
              <w:t>0.00%</w:t>
            </w:r>
          </w:p>
        </w:tc>
        <w:tc>
          <w:tcPr>
            <w:tcW w:w="949" w:type="dxa"/>
            <w:shd w:val="clear" w:color="auto" w:fill="auto"/>
          </w:tcPr>
          <w:p w14:paraId="4AB4DDFE" w14:textId="62839D3C" w:rsidR="00653F0D" w:rsidRPr="0064329A" w:rsidRDefault="00653F0D" w:rsidP="00653F0D">
            <w:pPr>
              <w:jc w:val="center"/>
              <w:rPr>
                <w:sz w:val="20"/>
              </w:rPr>
            </w:pPr>
            <w:r w:rsidRPr="0064329A">
              <w:rPr>
                <w:sz w:val="20"/>
              </w:rPr>
              <w:t>1.75%</w:t>
            </w:r>
          </w:p>
        </w:tc>
        <w:tc>
          <w:tcPr>
            <w:tcW w:w="949" w:type="dxa"/>
            <w:shd w:val="clear" w:color="auto" w:fill="auto"/>
          </w:tcPr>
          <w:p w14:paraId="17B540E7" w14:textId="6E340041" w:rsidR="00653F0D" w:rsidRPr="0064329A" w:rsidRDefault="00653F0D" w:rsidP="00653F0D">
            <w:pPr>
              <w:jc w:val="center"/>
              <w:rPr>
                <w:sz w:val="20"/>
              </w:rPr>
            </w:pPr>
            <w:r w:rsidRPr="0064329A">
              <w:rPr>
                <w:sz w:val="20"/>
              </w:rPr>
              <w:t>0.00%</w:t>
            </w:r>
          </w:p>
        </w:tc>
        <w:tc>
          <w:tcPr>
            <w:tcW w:w="949" w:type="dxa"/>
            <w:shd w:val="clear" w:color="auto" w:fill="auto"/>
          </w:tcPr>
          <w:p w14:paraId="1F87996A" w14:textId="5BFAA84F" w:rsidR="00653F0D" w:rsidRPr="0064329A" w:rsidRDefault="00653F0D" w:rsidP="00653F0D">
            <w:pPr>
              <w:jc w:val="center"/>
              <w:rPr>
                <w:sz w:val="20"/>
              </w:rPr>
            </w:pPr>
            <w:r w:rsidRPr="0064329A">
              <w:rPr>
                <w:sz w:val="20"/>
              </w:rPr>
              <w:t>0.00%</w:t>
            </w:r>
          </w:p>
        </w:tc>
        <w:tc>
          <w:tcPr>
            <w:tcW w:w="949" w:type="dxa"/>
            <w:shd w:val="clear" w:color="auto" w:fill="auto"/>
          </w:tcPr>
          <w:p w14:paraId="30153387" w14:textId="78A4A38C" w:rsidR="00653F0D" w:rsidRPr="0064329A" w:rsidRDefault="00653F0D" w:rsidP="00653F0D">
            <w:pPr>
              <w:jc w:val="center"/>
              <w:rPr>
                <w:sz w:val="20"/>
              </w:rPr>
            </w:pPr>
            <w:r w:rsidRPr="00653F0D">
              <w:rPr>
                <w:rFonts w:hint="eastAsia"/>
                <w:sz w:val="20"/>
              </w:rPr>
              <w:t>0.00%</w:t>
            </w:r>
          </w:p>
        </w:tc>
      </w:tr>
      <w:tr w:rsidR="00653F0D" w14:paraId="5699C1DC" w14:textId="77777777" w:rsidTr="006400C6">
        <w:tc>
          <w:tcPr>
            <w:tcW w:w="3892" w:type="dxa"/>
            <w:shd w:val="clear" w:color="auto" w:fill="auto"/>
          </w:tcPr>
          <w:p w14:paraId="508E8045" w14:textId="77C3BEE0" w:rsidR="00653F0D" w:rsidRPr="001C25D2" w:rsidRDefault="00653F0D" w:rsidP="00653F0D">
            <w:pPr>
              <w:rPr>
                <w:rFonts w:eastAsia="Arial Unicode MS" w:cs="Arial Unicode MS"/>
              </w:rPr>
            </w:pPr>
            <w:r w:rsidRPr="001C25D2">
              <w:rPr>
                <w:rFonts w:eastAsia="Arial Unicode MS" w:cs="Arial Unicode MS"/>
              </w:rPr>
              <w:t>VP For Academic Affairs &amp; Provost</w:t>
            </w:r>
          </w:p>
        </w:tc>
        <w:tc>
          <w:tcPr>
            <w:tcW w:w="942" w:type="dxa"/>
            <w:shd w:val="clear" w:color="auto" w:fill="auto"/>
          </w:tcPr>
          <w:p w14:paraId="05DBA9A4" w14:textId="66B6EA6C" w:rsidR="00653F0D" w:rsidRPr="0064329A" w:rsidRDefault="00653F0D" w:rsidP="00653F0D">
            <w:pPr>
              <w:jc w:val="center"/>
              <w:rPr>
                <w:sz w:val="20"/>
              </w:rPr>
            </w:pPr>
            <w:r w:rsidRPr="0064329A">
              <w:rPr>
                <w:sz w:val="20"/>
              </w:rPr>
              <w:t>9.99%</w:t>
            </w:r>
          </w:p>
        </w:tc>
        <w:tc>
          <w:tcPr>
            <w:tcW w:w="949" w:type="dxa"/>
            <w:shd w:val="clear" w:color="auto" w:fill="auto"/>
          </w:tcPr>
          <w:p w14:paraId="5707B27F" w14:textId="124C2959" w:rsidR="00653F0D" w:rsidRPr="0064329A" w:rsidRDefault="00653F0D" w:rsidP="00653F0D">
            <w:pPr>
              <w:jc w:val="center"/>
              <w:rPr>
                <w:sz w:val="20"/>
              </w:rPr>
            </w:pPr>
            <w:r w:rsidRPr="0064329A">
              <w:rPr>
                <w:sz w:val="20"/>
              </w:rPr>
              <w:t>16.72%</w:t>
            </w:r>
          </w:p>
        </w:tc>
        <w:tc>
          <w:tcPr>
            <w:tcW w:w="949" w:type="dxa"/>
            <w:shd w:val="clear" w:color="auto" w:fill="auto"/>
          </w:tcPr>
          <w:p w14:paraId="5D579BA2" w14:textId="0EDAF554" w:rsidR="00653F0D" w:rsidRPr="0064329A" w:rsidRDefault="00653F0D" w:rsidP="00653F0D">
            <w:pPr>
              <w:jc w:val="center"/>
              <w:rPr>
                <w:sz w:val="20"/>
              </w:rPr>
            </w:pPr>
            <w:r w:rsidRPr="0064329A">
              <w:rPr>
                <w:sz w:val="20"/>
              </w:rPr>
              <w:t>11.51%</w:t>
            </w:r>
          </w:p>
        </w:tc>
        <w:tc>
          <w:tcPr>
            <w:tcW w:w="949" w:type="dxa"/>
            <w:shd w:val="clear" w:color="auto" w:fill="auto"/>
          </w:tcPr>
          <w:p w14:paraId="04FA8C78" w14:textId="010261A0" w:rsidR="00653F0D" w:rsidRPr="0064329A" w:rsidRDefault="00653F0D" w:rsidP="00653F0D">
            <w:pPr>
              <w:jc w:val="center"/>
              <w:rPr>
                <w:sz w:val="20"/>
              </w:rPr>
            </w:pPr>
            <w:r w:rsidRPr="0064329A">
              <w:rPr>
                <w:sz w:val="20"/>
              </w:rPr>
              <w:t>-12.46%</w:t>
            </w:r>
          </w:p>
        </w:tc>
        <w:tc>
          <w:tcPr>
            <w:tcW w:w="949" w:type="dxa"/>
            <w:shd w:val="clear" w:color="auto" w:fill="auto"/>
          </w:tcPr>
          <w:p w14:paraId="1AEB7950" w14:textId="64EB1A0E" w:rsidR="00653F0D" w:rsidRPr="0064329A" w:rsidRDefault="00653F0D" w:rsidP="00653F0D">
            <w:pPr>
              <w:jc w:val="center"/>
              <w:rPr>
                <w:sz w:val="20"/>
              </w:rPr>
            </w:pPr>
            <w:r w:rsidRPr="00653F0D">
              <w:rPr>
                <w:rFonts w:hint="eastAsia"/>
                <w:sz w:val="20"/>
              </w:rPr>
              <w:t>24.39%</w:t>
            </w:r>
          </w:p>
        </w:tc>
      </w:tr>
      <w:tr w:rsidR="00653F0D" w14:paraId="12C5ACAA" w14:textId="77777777" w:rsidTr="006400C6">
        <w:tc>
          <w:tcPr>
            <w:tcW w:w="3892" w:type="dxa"/>
            <w:shd w:val="clear" w:color="auto" w:fill="auto"/>
          </w:tcPr>
          <w:p w14:paraId="63AEFFEB" w14:textId="1C29F148" w:rsidR="00653F0D" w:rsidRPr="001C25D2" w:rsidRDefault="00653F0D" w:rsidP="00653F0D">
            <w:pPr>
              <w:rPr>
                <w:color w:val="000000"/>
              </w:rPr>
            </w:pPr>
            <w:r w:rsidRPr="001C25D2">
              <w:rPr>
                <w:color w:val="000000"/>
              </w:rPr>
              <w:t>VP For Business Affairs</w:t>
            </w:r>
          </w:p>
        </w:tc>
        <w:tc>
          <w:tcPr>
            <w:tcW w:w="942" w:type="dxa"/>
            <w:shd w:val="clear" w:color="auto" w:fill="auto"/>
          </w:tcPr>
          <w:p w14:paraId="4B9CC2E5" w14:textId="5532F6B3" w:rsidR="00653F0D" w:rsidRPr="0064329A" w:rsidRDefault="00653F0D" w:rsidP="00653F0D">
            <w:pPr>
              <w:jc w:val="center"/>
              <w:rPr>
                <w:sz w:val="20"/>
              </w:rPr>
            </w:pPr>
            <w:r w:rsidRPr="0064329A">
              <w:rPr>
                <w:sz w:val="20"/>
              </w:rPr>
              <w:t>-9.84%</w:t>
            </w:r>
          </w:p>
        </w:tc>
        <w:tc>
          <w:tcPr>
            <w:tcW w:w="949" w:type="dxa"/>
            <w:shd w:val="clear" w:color="auto" w:fill="auto"/>
          </w:tcPr>
          <w:p w14:paraId="57EDB3F1" w14:textId="1F2F13C9" w:rsidR="00653F0D" w:rsidRPr="0064329A" w:rsidRDefault="00653F0D" w:rsidP="00653F0D">
            <w:pPr>
              <w:jc w:val="center"/>
              <w:rPr>
                <w:sz w:val="20"/>
              </w:rPr>
            </w:pPr>
            <w:r w:rsidRPr="0064329A">
              <w:rPr>
                <w:sz w:val="20"/>
              </w:rPr>
              <w:t>0.00%</w:t>
            </w:r>
          </w:p>
        </w:tc>
        <w:tc>
          <w:tcPr>
            <w:tcW w:w="949" w:type="dxa"/>
            <w:shd w:val="clear" w:color="auto" w:fill="auto"/>
          </w:tcPr>
          <w:p w14:paraId="551CFBD7" w14:textId="6C16C8EE" w:rsidR="00653F0D" w:rsidRPr="0064329A" w:rsidRDefault="00653F0D" w:rsidP="00653F0D">
            <w:pPr>
              <w:jc w:val="center"/>
              <w:rPr>
                <w:sz w:val="20"/>
              </w:rPr>
            </w:pPr>
            <w:r w:rsidRPr="0064329A">
              <w:rPr>
                <w:sz w:val="20"/>
              </w:rPr>
              <w:t>12.17%</w:t>
            </w:r>
          </w:p>
        </w:tc>
        <w:tc>
          <w:tcPr>
            <w:tcW w:w="949" w:type="dxa"/>
            <w:shd w:val="clear" w:color="auto" w:fill="auto"/>
          </w:tcPr>
          <w:p w14:paraId="53F65865" w14:textId="4127342B" w:rsidR="00653F0D" w:rsidRPr="0064329A" w:rsidRDefault="00653F0D" w:rsidP="00653F0D">
            <w:pPr>
              <w:jc w:val="center"/>
              <w:rPr>
                <w:sz w:val="20"/>
              </w:rPr>
            </w:pPr>
            <w:r w:rsidRPr="0064329A">
              <w:rPr>
                <w:sz w:val="20"/>
              </w:rPr>
              <w:t>9.48%</w:t>
            </w:r>
          </w:p>
        </w:tc>
        <w:tc>
          <w:tcPr>
            <w:tcW w:w="949" w:type="dxa"/>
            <w:shd w:val="clear" w:color="auto" w:fill="auto"/>
          </w:tcPr>
          <w:p w14:paraId="2CAA0D1C" w14:textId="61BA4B90" w:rsidR="00653F0D" w:rsidRPr="0064329A" w:rsidRDefault="00653F0D" w:rsidP="00653F0D">
            <w:pPr>
              <w:jc w:val="center"/>
              <w:rPr>
                <w:sz w:val="20"/>
              </w:rPr>
            </w:pPr>
            <w:r w:rsidRPr="00653F0D">
              <w:rPr>
                <w:rFonts w:hint="eastAsia"/>
                <w:sz w:val="20"/>
              </w:rPr>
              <w:t>-11.17%</w:t>
            </w:r>
          </w:p>
        </w:tc>
      </w:tr>
      <w:tr w:rsidR="00653F0D" w14:paraId="1D8EBBA5" w14:textId="77777777" w:rsidTr="006400C6">
        <w:tc>
          <w:tcPr>
            <w:tcW w:w="3892" w:type="dxa"/>
            <w:shd w:val="clear" w:color="auto" w:fill="auto"/>
          </w:tcPr>
          <w:p w14:paraId="447D9FCB" w14:textId="6A6C6BDF" w:rsidR="00653F0D" w:rsidRPr="001C25D2" w:rsidRDefault="00653F0D" w:rsidP="00653F0D">
            <w:pPr>
              <w:rPr>
                <w:color w:val="000000"/>
              </w:rPr>
            </w:pPr>
            <w:r w:rsidRPr="001C25D2">
              <w:rPr>
                <w:color w:val="000000"/>
              </w:rPr>
              <w:t>VP for IT &amp; CIO</w:t>
            </w:r>
          </w:p>
        </w:tc>
        <w:tc>
          <w:tcPr>
            <w:tcW w:w="942" w:type="dxa"/>
            <w:shd w:val="clear" w:color="auto" w:fill="auto"/>
          </w:tcPr>
          <w:p w14:paraId="226804C4" w14:textId="2D4B9E08" w:rsidR="00653F0D" w:rsidRPr="0064329A" w:rsidRDefault="00653F0D" w:rsidP="00653F0D">
            <w:pPr>
              <w:jc w:val="center"/>
              <w:rPr>
                <w:sz w:val="20"/>
              </w:rPr>
            </w:pPr>
            <w:r w:rsidRPr="0064329A">
              <w:rPr>
                <w:sz w:val="20"/>
              </w:rPr>
              <w:t>11.62%</w:t>
            </w:r>
          </w:p>
        </w:tc>
        <w:tc>
          <w:tcPr>
            <w:tcW w:w="949" w:type="dxa"/>
            <w:shd w:val="clear" w:color="auto" w:fill="auto"/>
          </w:tcPr>
          <w:p w14:paraId="0B8B9AC3" w14:textId="48FA567F" w:rsidR="00653F0D" w:rsidRPr="0064329A" w:rsidRDefault="00653F0D" w:rsidP="00653F0D">
            <w:pPr>
              <w:jc w:val="center"/>
              <w:rPr>
                <w:sz w:val="20"/>
              </w:rPr>
            </w:pPr>
            <w:r w:rsidRPr="0064329A">
              <w:rPr>
                <w:sz w:val="20"/>
              </w:rPr>
              <w:t>0.00%</w:t>
            </w:r>
          </w:p>
        </w:tc>
        <w:tc>
          <w:tcPr>
            <w:tcW w:w="949" w:type="dxa"/>
            <w:shd w:val="clear" w:color="auto" w:fill="auto"/>
          </w:tcPr>
          <w:p w14:paraId="05BCF03A" w14:textId="46D52BD0" w:rsidR="00653F0D" w:rsidRPr="0064329A" w:rsidRDefault="00653F0D" w:rsidP="00653F0D">
            <w:pPr>
              <w:jc w:val="center"/>
              <w:rPr>
                <w:sz w:val="20"/>
              </w:rPr>
            </w:pPr>
            <w:r w:rsidRPr="0064329A">
              <w:rPr>
                <w:sz w:val="20"/>
              </w:rPr>
              <w:t>30.28%</w:t>
            </w:r>
          </w:p>
        </w:tc>
        <w:tc>
          <w:tcPr>
            <w:tcW w:w="949" w:type="dxa"/>
            <w:shd w:val="clear" w:color="auto" w:fill="auto"/>
          </w:tcPr>
          <w:p w14:paraId="3C589C30" w14:textId="7AFEB70E" w:rsidR="00653F0D" w:rsidRPr="0064329A" w:rsidRDefault="00653F0D" w:rsidP="00653F0D">
            <w:pPr>
              <w:jc w:val="center"/>
              <w:rPr>
                <w:sz w:val="20"/>
              </w:rPr>
            </w:pPr>
            <w:r w:rsidRPr="0064329A">
              <w:rPr>
                <w:sz w:val="20"/>
              </w:rPr>
              <w:t>6.54%</w:t>
            </w:r>
          </w:p>
        </w:tc>
        <w:tc>
          <w:tcPr>
            <w:tcW w:w="949" w:type="dxa"/>
            <w:shd w:val="clear" w:color="auto" w:fill="auto"/>
          </w:tcPr>
          <w:p w14:paraId="2E6CC357" w14:textId="4E610DC2" w:rsidR="00653F0D" w:rsidRPr="0064329A" w:rsidRDefault="00653F0D" w:rsidP="00653F0D">
            <w:pPr>
              <w:jc w:val="center"/>
              <w:rPr>
                <w:sz w:val="20"/>
              </w:rPr>
            </w:pPr>
            <w:r w:rsidRPr="00653F0D">
              <w:rPr>
                <w:rFonts w:hint="eastAsia"/>
                <w:sz w:val="20"/>
              </w:rPr>
              <w:t>3.87%</w:t>
            </w:r>
          </w:p>
        </w:tc>
      </w:tr>
      <w:tr w:rsidR="00653F0D" w14:paraId="7E297586" w14:textId="77777777" w:rsidTr="006400C6">
        <w:tc>
          <w:tcPr>
            <w:tcW w:w="3892" w:type="dxa"/>
            <w:shd w:val="clear" w:color="auto" w:fill="auto"/>
          </w:tcPr>
          <w:p w14:paraId="07C17705" w14:textId="7764CBF0" w:rsidR="00653F0D" w:rsidRPr="001C25D2" w:rsidRDefault="00653F0D" w:rsidP="00653F0D">
            <w:pPr>
              <w:rPr>
                <w:color w:val="000000"/>
              </w:rPr>
            </w:pPr>
            <w:r w:rsidRPr="001C25D2">
              <w:rPr>
                <w:color w:val="000000"/>
              </w:rPr>
              <w:t>Vice Pres of Student Affairs</w:t>
            </w:r>
          </w:p>
        </w:tc>
        <w:tc>
          <w:tcPr>
            <w:tcW w:w="942" w:type="dxa"/>
            <w:shd w:val="clear" w:color="auto" w:fill="auto"/>
          </w:tcPr>
          <w:p w14:paraId="23FFB8A2" w14:textId="4794BBF2" w:rsidR="00653F0D" w:rsidRPr="0064329A" w:rsidRDefault="00653F0D" w:rsidP="00653F0D">
            <w:pPr>
              <w:jc w:val="center"/>
              <w:rPr>
                <w:sz w:val="20"/>
              </w:rPr>
            </w:pPr>
            <w:r w:rsidRPr="0064329A">
              <w:rPr>
                <w:sz w:val="20"/>
              </w:rPr>
              <w:t>0.00%</w:t>
            </w:r>
          </w:p>
        </w:tc>
        <w:tc>
          <w:tcPr>
            <w:tcW w:w="949" w:type="dxa"/>
            <w:shd w:val="clear" w:color="auto" w:fill="auto"/>
          </w:tcPr>
          <w:p w14:paraId="245AF313" w14:textId="2FFB0E07" w:rsidR="00653F0D" w:rsidRPr="0064329A" w:rsidRDefault="00653F0D" w:rsidP="00653F0D">
            <w:pPr>
              <w:jc w:val="center"/>
              <w:rPr>
                <w:sz w:val="20"/>
              </w:rPr>
            </w:pPr>
            <w:r w:rsidRPr="0064329A">
              <w:rPr>
                <w:sz w:val="20"/>
              </w:rPr>
              <w:t>0.00%</w:t>
            </w:r>
          </w:p>
        </w:tc>
        <w:tc>
          <w:tcPr>
            <w:tcW w:w="949" w:type="dxa"/>
            <w:shd w:val="clear" w:color="auto" w:fill="auto"/>
          </w:tcPr>
          <w:p w14:paraId="502BD9AC" w14:textId="4D55F796" w:rsidR="00653F0D" w:rsidRPr="0064329A" w:rsidRDefault="00653F0D" w:rsidP="00653F0D">
            <w:pPr>
              <w:jc w:val="center"/>
              <w:rPr>
                <w:sz w:val="20"/>
              </w:rPr>
            </w:pPr>
            <w:r w:rsidRPr="0064329A">
              <w:rPr>
                <w:sz w:val="20"/>
              </w:rPr>
              <w:t>6.24%</w:t>
            </w:r>
          </w:p>
        </w:tc>
        <w:tc>
          <w:tcPr>
            <w:tcW w:w="949" w:type="dxa"/>
            <w:shd w:val="clear" w:color="auto" w:fill="auto"/>
          </w:tcPr>
          <w:p w14:paraId="3D4A770C" w14:textId="7608158C" w:rsidR="00653F0D" w:rsidRPr="0064329A" w:rsidRDefault="00653F0D" w:rsidP="00653F0D">
            <w:pPr>
              <w:jc w:val="center"/>
              <w:rPr>
                <w:sz w:val="20"/>
              </w:rPr>
            </w:pPr>
            <w:r w:rsidRPr="0064329A">
              <w:rPr>
                <w:sz w:val="20"/>
              </w:rPr>
              <w:t>2.91%</w:t>
            </w:r>
          </w:p>
        </w:tc>
        <w:tc>
          <w:tcPr>
            <w:tcW w:w="949" w:type="dxa"/>
            <w:shd w:val="clear" w:color="auto" w:fill="auto"/>
          </w:tcPr>
          <w:p w14:paraId="6CC5DFD9" w14:textId="18E8266A" w:rsidR="00653F0D" w:rsidRPr="0093520D" w:rsidRDefault="00653F0D" w:rsidP="00653F0D">
            <w:pPr>
              <w:jc w:val="center"/>
              <w:rPr>
                <w:sz w:val="20"/>
              </w:rPr>
            </w:pPr>
            <w:r w:rsidRPr="00653F0D">
              <w:rPr>
                <w:rFonts w:hint="eastAsia"/>
                <w:sz w:val="20"/>
              </w:rPr>
              <w:t>6.12%</w:t>
            </w:r>
          </w:p>
        </w:tc>
      </w:tr>
      <w:tr w:rsidR="00653F0D" w14:paraId="5619880B" w14:textId="77777777" w:rsidTr="006400C6">
        <w:tc>
          <w:tcPr>
            <w:tcW w:w="3892" w:type="dxa"/>
            <w:shd w:val="clear" w:color="auto" w:fill="auto"/>
          </w:tcPr>
          <w:p w14:paraId="178E92E3" w14:textId="698A6EF2" w:rsidR="00653F0D" w:rsidRPr="001C25D2" w:rsidRDefault="00653F0D" w:rsidP="00653F0D">
            <w:pPr>
              <w:rPr>
                <w:color w:val="000000"/>
              </w:rPr>
            </w:pPr>
            <w:r w:rsidRPr="001C25D2">
              <w:t>VP for University Advancement</w:t>
            </w:r>
          </w:p>
        </w:tc>
        <w:tc>
          <w:tcPr>
            <w:tcW w:w="942" w:type="dxa"/>
            <w:shd w:val="clear" w:color="auto" w:fill="auto"/>
          </w:tcPr>
          <w:p w14:paraId="53A5D605" w14:textId="3178D1FE" w:rsidR="00653F0D" w:rsidRPr="0064329A" w:rsidRDefault="00653F0D" w:rsidP="00653F0D">
            <w:pPr>
              <w:jc w:val="center"/>
              <w:rPr>
                <w:sz w:val="20"/>
              </w:rPr>
            </w:pPr>
            <w:r w:rsidRPr="0064329A">
              <w:rPr>
                <w:sz w:val="20"/>
              </w:rPr>
              <w:t>0.00%</w:t>
            </w:r>
          </w:p>
        </w:tc>
        <w:tc>
          <w:tcPr>
            <w:tcW w:w="949" w:type="dxa"/>
            <w:shd w:val="clear" w:color="auto" w:fill="auto"/>
          </w:tcPr>
          <w:p w14:paraId="1C106991" w14:textId="031CC43C" w:rsidR="00653F0D" w:rsidRPr="0064329A" w:rsidRDefault="00653F0D" w:rsidP="00653F0D">
            <w:pPr>
              <w:jc w:val="center"/>
              <w:rPr>
                <w:sz w:val="20"/>
              </w:rPr>
            </w:pPr>
            <w:r w:rsidRPr="0064329A">
              <w:rPr>
                <w:sz w:val="20"/>
              </w:rPr>
              <w:t>0.00%</w:t>
            </w:r>
          </w:p>
        </w:tc>
        <w:tc>
          <w:tcPr>
            <w:tcW w:w="949" w:type="dxa"/>
            <w:shd w:val="clear" w:color="auto" w:fill="auto"/>
          </w:tcPr>
          <w:p w14:paraId="3CAE9ACB" w14:textId="149C9F34" w:rsidR="00653F0D" w:rsidRPr="0064329A" w:rsidRDefault="00653F0D" w:rsidP="00653F0D">
            <w:pPr>
              <w:jc w:val="center"/>
              <w:rPr>
                <w:sz w:val="20"/>
              </w:rPr>
            </w:pPr>
            <w:r w:rsidRPr="0064329A">
              <w:rPr>
                <w:sz w:val="20"/>
              </w:rPr>
              <w:t>3.40%</w:t>
            </w:r>
          </w:p>
        </w:tc>
        <w:tc>
          <w:tcPr>
            <w:tcW w:w="949" w:type="dxa"/>
            <w:shd w:val="clear" w:color="auto" w:fill="auto"/>
          </w:tcPr>
          <w:p w14:paraId="117543A7" w14:textId="6CAAD631" w:rsidR="00653F0D" w:rsidRPr="0064329A" w:rsidRDefault="00653F0D" w:rsidP="00653F0D">
            <w:pPr>
              <w:jc w:val="center"/>
              <w:rPr>
                <w:sz w:val="20"/>
              </w:rPr>
            </w:pPr>
            <w:r w:rsidRPr="0064329A">
              <w:rPr>
                <w:sz w:val="20"/>
              </w:rPr>
              <w:t>-9.93%</w:t>
            </w:r>
          </w:p>
        </w:tc>
        <w:tc>
          <w:tcPr>
            <w:tcW w:w="949" w:type="dxa"/>
            <w:shd w:val="clear" w:color="auto" w:fill="auto"/>
          </w:tcPr>
          <w:p w14:paraId="5AB11257" w14:textId="02E35FBC" w:rsidR="00653F0D" w:rsidRPr="0093520D" w:rsidRDefault="00653F0D" w:rsidP="00653F0D">
            <w:pPr>
              <w:jc w:val="center"/>
              <w:rPr>
                <w:sz w:val="20"/>
              </w:rPr>
            </w:pPr>
            <w:r w:rsidRPr="00653F0D">
              <w:rPr>
                <w:rFonts w:hint="eastAsia"/>
                <w:sz w:val="20"/>
              </w:rPr>
              <w:t>0.00%</w:t>
            </w:r>
          </w:p>
        </w:tc>
      </w:tr>
      <w:tr w:rsidR="00653F0D" w14:paraId="0C1AED1E" w14:textId="77777777" w:rsidTr="006400C6">
        <w:tc>
          <w:tcPr>
            <w:tcW w:w="3892" w:type="dxa"/>
            <w:shd w:val="clear" w:color="auto" w:fill="auto"/>
          </w:tcPr>
          <w:p w14:paraId="2C84F22D" w14:textId="2830E6BB" w:rsidR="00653F0D" w:rsidRPr="001C25D2" w:rsidRDefault="00653F0D" w:rsidP="00653F0D">
            <w:pPr>
              <w:rPr>
                <w:color w:val="000000"/>
              </w:rPr>
            </w:pPr>
            <w:r w:rsidRPr="001C25D2">
              <w:rPr>
                <w:color w:val="000000"/>
              </w:rPr>
              <w:t>Exec</w:t>
            </w:r>
            <w:r w:rsidR="006400C6">
              <w:rPr>
                <w:color w:val="000000"/>
              </w:rPr>
              <w:t>utive</w:t>
            </w:r>
            <w:r w:rsidRPr="001C25D2">
              <w:rPr>
                <w:color w:val="000000"/>
              </w:rPr>
              <w:t xml:space="preserve"> Director of Fine &amp; Perf</w:t>
            </w:r>
            <w:r w:rsidR="006400C6">
              <w:rPr>
                <w:color w:val="000000"/>
              </w:rPr>
              <w:t>orming</w:t>
            </w:r>
            <w:r w:rsidRPr="001C25D2">
              <w:rPr>
                <w:color w:val="000000"/>
              </w:rPr>
              <w:t xml:space="preserve"> Arts Center</w:t>
            </w:r>
          </w:p>
        </w:tc>
        <w:tc>
          <w:tcPr>
            <w:tcW w:w="942" w:type="dxa"/>
            <w:shd w:val="clear" w:color="auto" w:fill="auto"/>
          </w:tcPr>
          <w:p w14:paraId="034B7C92" w14:textId="77777777" w:rsidR="00653F0D" w:rsidRPr="0064329A" w:rsidRDefault="00653F0D" w:rsidP="00653F0D">
            <w:pPr>
              <w:jc w:val="center"/>
              <w:rPr>
                <w:sz w:val="20"/>
              </w:rPr>
            </w:pPr>
          </w:p>
        </w:tc>
        <w:tc>
          <w:tcPr>
            <w:tcW w:w="949" w:type="dxa"/>
            <w:shd w:val="clear" w:color="auto" w:fill="auto"/>
          </w:tcPr>
          <w:p w14:paraId="01F6A6D0" w14:textId="77777777" w:rsidR="00653F0D" w:rsidRPr="0064329A" w:rsidRDefault="00653F0D" w:rsidP="00653F0D">
            <w:pPr>
              <w:jc w:val="center"/>
              <w:rPr>
                <w:sz w:val="20"/>
              </w:rPr>
            </w:pPr>
          </w:p>
        </w:tc>
        <w:tc>
          <w:tcPr>
            <w:tcW w:w="949" w:type="dxa"/>
            <w:shd w:val="clear" w:color="auto" w:fill="auto"/>
          </w:tcPr>
          <w:p w14:paraId="6E6A2EC3" w14:textId="1A5E68A0" w:rsidR="00653F0D" w:rsidRPr="0064329A" w:rsidRDefault="00653F0D" w:rsidP="00653F0D">
            <w:pPr>
              <w:jc w:val="center"/>
              <w:rPr>
                <w:sz w:val="20"/>
              </w:rPr>
            </w:pPr>
            <w:r w:rsidRPr="0064329A">
              <w:rPr>
                <w:sz w:val="20"/>
              </w:rPr>
              <w:t>0.00%</w:t>
            </w:r>
          </w:p>
        </w:tc>
        <w:tc>
          <w:tcPr>
            <w:tcW w:w="949" w:type="dxa"/>
            <w:shd w:val="clear" w:color="auto" w:fill="auto"/>
          </w:tcPr>
          <w:p w14:paraId="7A90DE53" w14:textId="67E7084C" w:rsidR="00653F0D" w:rsidRPr="0064329A" w:rsidRDefault="00653F0D" w:rsidP="00653F0D">
            <w:pPr>
              <w:jc w:val="center"/>
              <w:rPr>
                <w:sz w:val="20"/>
              </w:rPr>
            </w:pPr>
            <w:r w:rsidRPr="0064329A">
              <w:rPr>
                <w:sz w:val="20"/>
              </w:rPr>
              <w:t>2.50%</w:t>
            </w:r>
          </w:p>
        </w:tc>
        <w:tc>
          <w:tcPr>
            <w:tcW w:w="949" w:type="dxa"/>
            <w:shd w:val="clear" w:color="auto" w:fill="auto"/>
          </w:tcPr>
          <w:p w14:paraId="22AE19A7" w14:textId="0CF9D548" w:rsidR="00653F0D" w:rsidRPr="0093520D" w:rsidRDefault="00653F0D" w:rsidP="00653F0D">
            <w:pPr>
              <w:jc w:val="center"/>
              <w:rPr>
                <w:sz w:val="20"/>
              </w:rPr>
            </w:pPr>
            <w:r w:rsidRPr="00653F0D">
              <w:rPr>
                <w:rFonts w:hint="eastAsia"/>
                <w:sz w:val="20"/>
              </w:rPr>
              <w:t>17.88%</w:t>
            </w:r>
          </w:p>
        </w:tc>
      </w:tr>
      <w:tr w:rsidR="00653F0D" w14:paraId="3E4ECC96" w14:textId="77777777" w:rsidTr="006400C6">
        <w:tc>
          <w:tcPr>
            <w:tcW w:w="3892" w:type="dxa"/>
            <w:shd w:val="clear" w:color="auto" w:fill="auto"/>
          </w:tcPr>
          <w:p w14:paraId="00075C63" w14:textId="290086CB" w:rsidR="00653F0D" w:rsidRPr="001C25D2" w:rsidRDefault="00653F0D" w:rsidP="00653F0D">
            <w:r w:rsidRPr="001C25D2">
              <w:rPr>
                <w:color w:val="000000"/>
              </w:rPr>
              <w:t>VP For Research &amp; Tech Transfer</w:t>
            </w:r>
          </w:p>
        </w:tc>
        <w:tc>
          <w:tcPr>
            <w:tcW w:w="942" w:type="dxa"/>
            <w:shd w:val="clear" w:color="auto" w:fill="auto"/>
          </w:tcPr>
          <w:p w14:paraId="356FF631" w14:textId="77777777" w:rsidR="00653F0D" w:rsidRPr="0064329A" w:rsidRDefault="00653F0D" w:rsidP="00653F0D">
            <w:pPr>
              <w:jc w:val="center"/>
              <w:rPr>
                <w:sz w:val="20"/>
              </w:rPr>
            </w:pPr>
          </w:p>
        </w:tc>
        <w:tc>
          <w:tcPr>
            <w:tcW w:w="949" w:type="dxa"/>
            <w:shd w:val="clear" w:color="auto" w:fill="auto"/>
          </w:tcPr>
          <w:p w14:paraId="2344806F" w14:textId="77777777" w:rsidR="00653F0D" w:rsidRPr="0064329A" w:rsidRDefault="00653F0D" w:rsidP="00653F0D">
            <w:pPr>
              <w:jc w:val="center"/>
              <w:rPr>
                <w:sz w:val="20"/>
              </w:rPr>
            </w:pPr>
          </w:p>
        </w:tc>
        <w:tc>
          <w:tcPr>
            <w:tcW w:w="949" w:type="dxa"/>
            <w:shd w:val="clear" w:color="auto" w:fill="auto"/>
          </w:tcPr>
          <w:p w14:paraId="15FFE025" w14:textId="143FE248" w:rsidR="00653F0D" w:rsidRPr="0064329A" w:rsidRDefault="00653F0D" w:rsidP="00653F0D">
            <w:pPr>
              <w:jc w:val="center"/>
              <w:rPr>
                <w:sz w:val="20"/>
              </w:rPr>
            </w:pPr>
          </w:p>
        </w:tc>
        <w:tc>
          <w:tcPr>
            <w:tcW w:w="949" w:type="dxa"/>
            <w:shd w:val="clear" w:color="auto" w:fill="auto"/>
          </w:tcPr>
          <w:p w14:paraId="1446994D" w14:textId="1C40FEE8" w:rsidR="00653F0D" w:rsidRPr="0064329A" w:rsidRDefault="00653F0D" w:rsidP="00653F0D">
            <w:pPr>
              <w:jc w:val="center"/>
              <w:rPr>
                <w:sz w:val="20"/>
              </w:rPr>
            </w:pPr>
            <w:r w:rsidRPr="0064329A">
              <w:rPr>
                <w:sz w:val="20"/>
              </w:rPr>
              <w:t>0.00%</w:t>
            </w:r>
          </w:p>
        </w:tc>
        <w:tc>
          <w:tcPr>
            <w:tcW w:w="949" w:type="dxa"/>
            <w:shd w:val="clear" w:color="auto" w:fill="auto"/>
          </w:tcPr>
          <w:p w14:paraId="7373D8BD" w14:textId="7AA7F569" w:rsidR="00653F0D" w:rsidRPr="0093520D" w:rsidRDefault="00653F0D" w:rsidP="00653F0D">
            <w:pPr>
              <w:jc w:val="center"/>
              <w:rPr>
                <w:sz w:val="20"/>
              </w:rPr>
            </w:pPr>
            <w:r w:rsidRPr="00653F0D">
              <w:rPr>
                <w:rFonts w:hint="eastAsia"/>
                <w:sz w:val="20"/>
              </w:rPr>
              <w:t>2.50%</w:t>
            </w:r>
          </w:p>
        </w:tc>
      </w:tr>
      <w:tr w:rsidR="00653F0D" w14:paraId="1AC5B940" w14:textId="77777777" w:rsidTr="006400C6">
        <w:tc>
          <w:tcPr>
            <w:tcW w:w="3892" w:type="dxa"/>
            <w:shd w:val="clear" w:color="auto" w:fill="auto"/>
          </w:tcPr>
          <w:p w14:paraId="700B6F21" w14:textId="27C8EE9F" w:rsidR="00653F0D" w:rsidRPr="001C25D2" w:rsidRDefault="00653F0D" w:rsidP="00653F0D">
            <w:r w:rsidRPr="001C25D2">
              <w:t>Special Assistant to President for Communications</w:t>
            </w:r>
          </w:p>
        </w:tc>
        <w:tc>
          <w:tcPr>
            <w:tcW w:w="942" w:type="dxa"/>
            <w:shd w:val="clear" w:color="auto" w:fill="auto"/>
          </w:tcPr>
          <w:p w14:paraId="01B340A0" w14:textId="77777777" w:rsidR="00653F0D" w:rsidRPr="0064329A" w:rsidRDefault="00653F0D" w:rsidP="00653F0D">
            <w:pPr>
              <w:jc w:val="center"/>
              <w:rPr>
                <w:sz w:val="20"/>
              </w:rPr>
            </w:pPr>
          </w:p>
        </w:tc>
        <w:tc>
          <w:tcPr>
            <w:tcW w:w="949" w:type="dxa"/>
            <w:shd w:val="clear" w:color="auto" w:fill="auto"/>
          </w:tcPr>
          <w:p w14:paraId="54C2E283" w14:textId="77777777" w:rsidR="00653F0D" w:rsidRPr="0064329A" w:rsidRDefault="00653F0D" w:rsidP="00653F0D">
            <w:pPr>
              <w:jc w:val="center"/>
              <w:rPr>
                <w:sz w:val="20"/>
              </w:rPr>
            </w:pPr>
          </w:p>
        </w:tc>
        <w:tc>
          <w:tcPr>
            <w:tcW w:w="949" w:type="dxa"/>
            <w:shd w:val="clear" w:color="auto" w:fill="auto"/>
          </w:tcPr>
          <w:p w14:paraId="537891C2" w14:textId="0DE8B047" w:rsidR="00653F0D" w:rsidRPr="0064329A" w:rsidRDefault="00653F0D" w:rsidP="00653F0D">
            <w:pPr>
              <w:jc w:val="center"/>
              <w:rPr>
                <w:sz w:val="20"/>
              </w:rPr>
            </w:pPr>
            <w:r w:rsidRPr="0064329A">
              <w:rPr>
                <w:sz w:val="20"/>
              </w:rPr>
              <w:t>0.00%</w:t>
            </w:r>
          </w:p>
        </w:tc>
        <w:tc>
          <w:tcPr>
            <w:tcW w:w="949" w:type="dxa"/>
            <w:shd w:val="clear" w:color="auto" w:fill="auto"/>
          </w:tcPr>
          <w:p w14:paraId="537CABF9" w14:textId="70EF9EC9" w:rsidR="00653F0D" w:rsidRPr="0064329A" w:rsidRDefault="00653F0D" w:rsidP="00653F0D">
            <w:pPr>
              <w:jc w:val="center"/>
              <w:rPr>
                <w:sz w:val="20"/>
              </w:rPr>
            </w:pPr>
            <w:r w:rsidRPr="0064329A">
              <w:rPr>
                <w:sz w:val="20"/>
              </w:rPr>
              <w:t>2.50%</w:t>
            </w:r>
          </w:p>
        </w:tc>
        <w:tc>
          <w:tcPr>
            <w:tcW w:w="949" w:type="dxa"/>
            <w:shd w:val="clear" w:color="auto" w:fill="auto"/>
          </w:tcPr>
          <w:p w14:paraId="70DE49E5" w14:textId="5135B0E0" w:rsidR="00653F0D" w:rsidRPr="0093520D" w:rsidRDefault="00653F0D" w:rsidP="00653F0D">
            <w:pPr>
              <w:jc w:val="center"/>
              <w:rPr>
                <w:sz w:val="20"/>
              </w:rPr>
            </w:pPr>
            <w:r w:rsidRPr="00653F0D">
              <w:rPr>
                <w:rFonts w:hint="eastAsia"/>
                <w:sz w:val="20"/>
              </w:rPr>
              <w:t>2.50%</w:t>
            </w:r>
          </w:p>
        </w:tc>
      </w:tr>
      <w:tr w:rsidR="00653F0D" w14:paraId="602BB760" w14:textId="77777777" w:rsidTr="006400C6">
        <w:tc>
          <w:tcPr>
            <w:tcW w:w="3892" w:type="dxa"/>
            <w:shd w:val="clear" w:color="auto" w:fill="auto"/>
          </w:tcPr>
          <w:p w14:paraId="2E6084D2" w14:textId="39156AAE" w:rsidR="00653F0D" w:rsidRPr="001C25D2" w:rsidRDefault="00653F0D" w:rsidP="00653F0D">
            <w:r w:rsidRPr="001C25D2">
              <w:t>University Counsel</w:t>
            </w:r>
          </w:p>
        </w:tc>
        <w:tc>
          <w:tcPr>
            <w:tcW w:w="942" w:type="dxa"/>
            <w:shd w:val="clear" w:color="auto" w:fill="auto"/>
          </w:tcPr>
          <w:p w14:paraId="47D44B73" w14:textId="77777777" w:rsidR="00653F0D" w:rsidRPr="0064329A" w:rsidRDefault="00653F0D" w:rsidP="00653F0D">
            <w:pPr>
              <w:jc w:val="center"/>
              <w:rPr>
                <w:sz w:val="20"/>
              </w:rPr>
            </w:pPr>
          </w:p>
        </w:tc>
        <w:tc>
          <w:tcPr>
            <w:tcW w:w="949" w:type="dxa"/>
            <w:shd w:val="clear" w:color="auto" w:fill="auto"/>
          </w:tcPr>
          <w:p w14:paraId="365F487B" w14:textId="77777777" w:rsidR="00653F0D" w:rsidRPr="0064329A" w:rsidRDefault="00653F0D" w:rsidP="00653F0D">
            <w:pPr>
              <w:jc w:val="center"/>
              <w:rPr>
                <w:sz w:val="20"/>
              </w:rPr>
            </w:pPr>
          </w:p>
        </w:tc>
        <w:tc>
          <w:tcPr>
            <w:tcW w:w="949" w:type="dxa"/>
            <w:shd w:val="clear" w:color="auto" w:fill="auto"/>
          </w:tcPr>
          <w:p w14:paraId="006C5806" w14:textId="05AA5C9F" w:rsidR="00653F0D" w:rsidRPr="0064329A" w:rsidRDefault="00653F0D" w:rsidP="00653F0D">
            <w:pPr>
              <w:jc w:val="center"/>
              <w:rPr>
                <w:sz w:val="20"/>
              </w:rPr>
            </w:pPr>
            <w:r w:rsidRPr="0064329A">
              <w:rPr>
                <w:sz w:val="20"/>
              </w:rPr>
              <w:t>0.00%</w:t>
            </w:r>
          </w:p>
        </w:tc>
        <w:tc>
          <w:tcPr>
            <w:tcW w:w="949" w:type="dxa"/>
            <w:shd w:val="clear" w:color="auto" w:fill="auto"/>
          </w:tcPr>
          <w:p w14:paraId="5779A0A4" w14:textId="73AFF735" w:rsidR="00653F0D" w:rsidRPr="0064329A" w:rsidRDefault="00653F0D" w:rsidP="00653F0D">
            <w:pPr>
              <w:jc w:val="center"/>
              <w:rPr>
                <w:sz w:val="20"/>
              </w:rPr>
            </w:pPr>
            <w:r w:rsidRPr="0064329A">
              <w:rPr>
                <w:sz w:val="20"/>
              </w:rPr>
              <w:t>0.00%</w:t>
            </w:r>
          </w:p>
        </w:tc>
        <w:tc>
          <w:tcPr>
            <w:tcW w:w="949" w:type="dxa"/>
            <w:shd w:val="clear" w:color="auto" w:fill="auto"/>
          </w:tcPr>
          <w:p w14:paraId="701491D6" w14:textId="143BC68B" w:rsidR="00653F0D" w:rsidRPr="0064329A" w:rsidRDefault="00653F0D" w:rsidP="00653F0D">
            <w:pPr>
              <w:jc w:val="center"/>
              <w:rPr>
                <w:sz w:val="20"/>
              </w:rPr>
            </w:pPr>
            <w:r w:rsidRPr="00653F0D">
              <w:rPr>
                <w:rFonts w:hint="eastAsia"/>
                <w:sz w:val="20"/>
              </w:rPr>
              <w:t>5.88%</w:t>
            </w:r>
          </w:p>
        </w:tc>
      </w:tr>
    </w:tbl>
    <w:p w14:paraId="15DE55D4" w14:textId="018EBC94" w:rsidR="00587C9F" w:rsidRPr="00203C7D" w:rsidRDefault="00203C7D" w:rsidP="00D72C9E">
      <w:pPr>
        <w:ind w:left="720"/>
        <w:rPr>
          <w:sz w:val="18"/>
          <w:szCs w:val="18"/>
        </w:rPr>
      </w:pPr>
      <w:r>
        <w:br/>
      </w:r>
      <w:r>
        <w:rPr>
          <w:sz w:val="18"/>
          <w:szCs w:val="18"/>
        </w:rPr>
        <w:t>Note:  Percentage of salary increases are based on salaries for positions on September 1</w:t>
      </w:r>
      <w:r w:rsidRPr="00203C7D">
        <w:rPr>
          <w:sz w:val="18"/>
          <w:szCs w:val="18"/>
          <w:vertAlign w:val="superscript"/>
        </w:rPr>
        <w:t>st</w:t>
      </w:r>
      <w:r>
        <w:rPr>
          <w:sz w:val="18"/>
          <w:szCs w:val="18"/>
        </w:rPr>
        <w:t xml:space="preserve"> of each year.</w:t>
      </w:r>
      <w:r w:rsidR="00D72C9E">
        <w:rPr>
          <w:sz w:val="18"/>
          <w:szCs w:val="18"/>
        </w:rPr>
        <w:t xml:space="preserve">  </w:t>
      </w:r>
    </w:p>
    <w:tbl>
      <w:tblPr>
        <w:tblStyle w:val="TableGrid"/>
        <w:tblW w:w="0" w:type="auto"/>
        <w:tblInd w:w="720" w:type="dxa"/>
        <w:tblLook w:val="04A0" w:firstRow="1" w:lastRow="0" w:firstColumn="1" w:lastColumn="0" w:noHBand="0" w:noVBand="1"/>
      </w:tblPr>
      <w:tblGrid>
        <w:gridCol w:w="4192"/>
        <w:gridCol w:w="887"/>
        <w:gridCol w:w="888"/>
        <w:gridCol w:w="887"/>
        <w:gridCol w:w="888"/>
        <w:gridCol w:w="888"/>
      </w:tblGrid>
      <w:tr w:rsidR="00981007" w:rsidRPr="00B34369" w14:paraId="380ADAFE" w14:textId="77777777" w:rsidTr="00981007">
        <w:tc>
          <w:tcPr>
            <w:tcW w:w="4192" w:type="dxa"/>
            <w:shd w:val="clear" w:color="auto" w:fill="95B3D7" w:themeFill="accent1" w:themeFillTint="99"/>
          </w:tcPr>
          <w:p w14:paraId="0D8F736C" w14:textId="77777777" w:rsidR="00981007" w:rsidRPr="00B34369" w:rsidRDefault="00981007" w:rsidP="00981007">
            <w:pPr>
              <w:jc w:val="center"/>
              <w:rPr>
                <w:b/>
                <w:sz w:val="20"/>
                <w:szCs w:val="20"/>
              </w:rPr>
            </w:pPr>
            <w:r>
              <w:rPr>
                <w:b/>
                <w:sz w:val="20"/>
                <w:szCs w:val="20"/>
              </w:rPr>
              <w:t>Legislative Appropriations</w:t>
            </w:r>
          </w:p>
        </w:tc>
        <w:tc>
          <w:tcPr>
            <w:tcW w:w="887" w:type="dxa"/>
            <w:shd w:val="clear" w:color="auto" w:fill="95B3D7" w:themeFill="accent1" w:themeFillTint="99"/>
          </w:tcPr>
          <w:p w14:paraId="534B9BB3" w14:textId="77777777" w:rsidR="00981007" w:rsidRPr="00B34369" w:rsidRDefault="00981007" w:rsidP="00981007">
            <w:pPr>
              <w:jc w:val="center"/>
              <w:rPr>
                <w:b/>
                <w:sz w:val="18"/>
                <w:szCs w:val="18"/>
              </w:rPr>
            </w:pPr>
            <w:r w:rsidRPr="00B34369">
              <w:rPr>
                <w:b/>
                <w:sz w:val="18"/>
                <w:szCs w:val="18"/>
              </w:rPr>
              <w:t>FY 201</w:t>
            </w:r>
            <w:r>
              <w:rPr>
                <w:b/>
                <w:sz w:val="18"/>
                <w:szCs w:val="18"/>
              </w:rPr>
              <w:t>2</w:t>
            </w:r>
          </w:p>
        </w:tc>
        <w:tc>
          <w:tcPr>
            <w:tcW w:w="888" w:type="dxa"/>
            <w:shd w:val="clear" w:color="auto" w:fill="95B3D7" w:themeFill="accent1" w:themeFillTint="99"/>
          </w:tcPr>
          <w:p w14:paraId="16A0F4FA" w14:textId="77777777" w:rsidR="00981007" w:rsidRPr="00B34369" w:rsidRDefault="00981007" w:rsidP="00981007">
            <w:pPr>
              <w:jc w:val="center"/>
              <w:rPr>
                <w:b/>
                <w:sz w:val="18"/>
                <w:szCs w:val="18"/>
              </w:rPr>
            </w:pPr>
            <w:r w:rsidRPr="00B34369">
              <w:rPr>
                <w:b/>
                <w:sz w:val="18"/>
                <w:szCs w:val="18"/>
              </w:rPr>
              <w:t>FY 201</w:t>
            </w:r>
            <w:r>
              <w:rPr>
                <w:b/>
                <w:sz w:val="18"/>
                <w:szCs w:val="18"/>
              </w:rPr>
              <w:t>3</w:t>
            </w:r>
          </w:p>
        </w:tc>
        <w:tc>
          <w:tcPr>
            <w:tcW w:w="887" w:type="dxa"/>
            <w:shd w:val="clear" w:color="auto" w:fill="95B3D7" w:themeFill="accent1" w:themeFillTint="99"/>
          </w:tcPr>
          <w:p w14:paraId="37E2D138" w14:textId="77777777" w:rsidR="00981007" w:rsidRPr="00B34369" w:rsidRDefault="00981007" w:rsidP="00981007">
            <w:pPr>
              <w:jc w:val="center"/>
              <w:rPr>
                <w:b/>
                <w:sz w:val="18"/>
                <w:szCs w:val="18"/>
              </w:rPr>
            </w:pPr>
            <w:r w:rsidRPr="00B34369">
              <w:rPr>
                <w:b/>
                <w:sz w:val="18"/>
                <w:szCs w:val="18"/>
              </w:rPr>
              <w:t>FY 201</w:t>
            </w:r>
            <w:r>
              <w:rPr>
                <w:b/>
                <w:sz w:val="18"/>
                <w:szCs w:val="18"/>
              </w:rPr>
              <w:t>4</w:t>
            </w:r>
          </w:p>
        </w:tc>
        <w:tc>
          <w:tcPr>
            <w:tcW w:w="888" w:type="dxa"/>
            <w:shd w:val="clear" w:color="auto" w:fill="95B3D7" w:themeFill="accent1" w:themeFillTint="99"/>
          </w:tcPr>
          <w:p w14:paraId="1381263E" w14:textId="77777777" w:rsidR="00981007" w:rsidRPr="00B34369" w:rsidRDefault="00981007" w:rsidP="00981007">
            <w:pPr>
              <w:jc w:val="center"/>
              <w:rPr>
                <w:b/>
                <w:sz w:val="18"/>
                <w:szCs w:val="18"/>
              </w:rPr>
            </w:pPr>
            <w:r w:rsidRPr="00B34369">
              <w:rPr>
                <w:b/>
                <w:sz w:val="18"/>
                <w:szCs w:val="18"/>
              </w:rPr>
              <w:t>FY 201</w:t>
            </w:r>
            <w:r>
              <w:rPr>
                <w:b/>
                <w:sz w:val="18"/>
                <w:szCs w:val="18"/>
              </w:rPr>
              <w:t>5</w:t>
            </w:r>
          </w:p>
        </w:tc>
        <w:tc>
          <w:tcPr>
            <w:tcW w:w="888" w:type="dxa"/>
            <w:shd w:val="clear" w:color="auto" w:fill="95B3D7" w:themeFill="accent1" w:themeFillTint="99"/>
          </w:tcPr>
          <w:p w14:paraId="5CA4C448" w14:textId="77777777" w:rsidR="00981007" w:rsidRPr="00B34369" w:rsidRDefault="00981007" w:rsidP="00981007">
            <w:pPr>
              <w:jc w:val="center"/>
              <w:rPr>
                <w:b/>
                <w:sz w:val="18"/>
                <w:szCs w:val="18"/>
              </w:rPr>
            </w:pPr>
            <w:r w:rsidRPr="00B34369">
              <w:rPr>
                <w:b/>
                <w:sz w:val="18"/>
                <w:szCs w:val="18"/>
              </w:rPr>
              <w:t>FY 201</w:t>
            </w:r>
            <w:r>
              <w:rPr>
                <w:b/>
                <w:sz w:val="18"/>
                <w:szCs w:val="18"/>
              </w:rPr>
              <w:t>6</w:t>
            </w:r>
          </w:p>
        </w:tc>
      </w:tr>
      <w:tr w:rsidR="0064329A" w14:paraId="5C6E9B3F" w14:textId="77777777" w:rsidTr="006400C6">
        <w:tc>
          <w:tcPr>
            <w:tcW w:w="4192" w:type="dxa"/>
          </w:tcPr>
          <w:p w14:paraId="13801E23" w14:textId="77777777" w:rsidR="0064329A" w:rsidRPr="001B0880" w:rsidRDefault="0064329A" w:rsidP="0064329A">
            <w:pPr>
              <w:rPr>
                <w:sz w:val="20"/>
                <w:szCs w:val="20"/>
              </w:rPr>
            </w:pPr>
            <w:r w:rsidRPr="001B0880">
              <w:rPr>
                <w:sz w:val="20"/>
                <w:szCs w:val="20"/>
              </w:rPr>
              <w:t>Percent Increase in Total Appropriation All Funds</w:t>
            </w:r>
          </w:p>
        </w:tc>
        <w:tc>
          <w:tcPr>
            <w:tcW w:w="887" w:type="dxa"/>
            <w:shd w:val="clear" w:color="auto" w:fill="auto"/>
          </w:tcPr>
          <w:p w14:paraId="3510F2B7" w14:textId="7D5FFC1B" w:rsidR="0064329A" w:rsidRPr="001B0880" w:rsidRDefault="0064329A" w:rsidP="0064329A">
            <w:pPr>
              <w:jc w:val="center"/>
              <w:rPr>
                <w:sz w:val="20"/>
              </w:rPr>
            </w:pPr>
            <w:r w:rsidRPr="001B0880">
              <w:rPr>
                <w:sz w:val="20"/>
              </w:rPr>
              <w:t xml:space="preserve">-0.31% </w:t>
            </w:r>
          </w:p>
        </w:tc>
        <w:tc>
          <w:tcPr>
            <w:tcW w:w="888" w:type="dxa"/>
            <w:shd w:val="clear" w:color="auto" w:fill="auto"/>
          </w:tcPr>
          <w:p w14:paraId="663C33B0" w14:textId="4B18E9B2" w:rsidR="0064329A" w:rsidRPr="001B0880" w:rsidRDefault="0064329A" w:rsidP="0064329A">
            <w:pPr>
              <w:jc w:val="center"/>
              <w:rPr>
                <w:sz w:val="20"/>
              </w:rPr>
            </w:pPr>
            <w:r w:rsidRPr="001B0880">
              <w:rPr>
                <w:sz w:val="20"/>
              </w:rPr>
              <w:t xml:space="preserve"> 0.17%</w:t>
            </w:r>
          </w:p>
        </w:tc>
        <w:tc>
          <w:tcPr>
            <w:tcW w:w="887" w:type="dxa"/>
            <w:shd w:val="clear" w:color="auto" w:fill="auto"/>
          </w:tcPr>
          <w:p w14:paraId="2E97E5A5" w14:textId="09835390" w:rsidR="0064329A" w:rsidRPr="001B0880" w:rsidRDefault="0064329A" w:rsidP="0064329A">
            <w:pPr>
              <w:jc w:val="center"/>
              <w:rPr>
                <w:sz w:val="20"/>
              </w:rPr>
            </w:pPr>
            <w:r w:rsidRPr="001B0880">
              <w:rPr>
                <w:sz w:val="20"/>
              </w:rPr>
              <w:t xml:space="preserve">13.70% </w:t>
            </w:r>
          </w:p>
        </w:tc>
        <w:tc>
          <w:tcPr>
            <w:tcW w:w="888" w:type="dxa"/>
            <w:shd w:val="clear" w:color="auto" w:fill="auto"/>
          </w:tcPr>
          <w:p w14:paraId="1451A457" w14:textId="66DF694D" w:rsidR="0064329A" w:rsidRPr="001B0880" w:rsidRDefault="0064329A" w:rsidP="0064329A">
            <w:pPr>
              <w:jc w:val="center"/>
              <w:rPr>
                <w:sz w:val="20"/>
              </w:rPr>
            </w:pPr>
            <w:r w:rsidRPr="001B0880">
              <w:rPr>
                <w:sz w:val="20"/>
              </w:rPr>
              <w:t>0.21%</w:t>
            </w:r>
          </w:p>
        </w:tc>
        <w:tc>
          <w:tcPr>
            <w:tcW w:w="888" w:type="dxa"/>
            <w:shd w:val="clear" w:color="auto" w:fill="auto"/>
          </w:tcPr>
          <w:p w14:paraId="1B1A5654" w14:textId="6032C372" w:rsidR="0064329A" w:rsidRPr="003231F5" w:rsidRDefault="003231F5" w:rsidP="003231F5">
            <w:pPr>
              <w:jc w:val="center"/>
              <w:rPr>
                <w:rFonts w:ascii="Calibri" w:hAnsi="Calibri"/>
                <w:color w:val="000000"/>
              </w:rPr>
            </w:pPr>
            <w:r w:rsidRPr="0093520D">
              <w:rPr>
                <w:sz w:val="20"/>
              </w:rPr>
              <w:t>10.46%</w:t>
            </w:r>
            <w:r w:rsidR="0064329A">
              <w:rPr>
                <w:sz w:val="20"/>
              </w:rPr>
              <w:t xml:space="preserve"> </w:t>
            </w:r>
          </w:p>
        </w:tc>
      </w:tr>
    </w:tbl>
    <w:p w14:paraId="1A46ABB6" w14:textId="77777777" w:rsidR="00453AAE" w:rsidRDefault="00453AAE" w:rsidP="00B34369"/>
    <w:p w14:paraId="24362735" w14:textId="77777777" w:rsidR="00316FE8" w:rsidRDefault="00316FE8" w:rsidP="00E113A5">
      <w:pPr>
        <w:ind w:left="720"/>
      </w:pPr>
      <w:r w:rsidRPr="00493424">
        <w:rPr>
          <w:sz w:val="18"/>
          <w:szCs w:val="18"/>
        </w:rPr>
        <w:t>Source:</w:t>
      </w:r>
      <w:r w:rsidR="00E113A5">
        <w:rPr>
          <w:sz w:val="18"/>
          <w:szCs w:val="18"/>
        </w:rPr>
        <w:t xml:space="preserve">  </w:t>
      </w:r>
      <w:r w:rsidRPr="00E2629A">
        <w:rPr>
          <w:i/>
          <w:sz w:val="18"/>
          <w:szCs w:val="18"/>
        </w:rPr>
        <w:t>General Appropriations Act</w:t>
      </w:r>
      <w:r w:rsidR="00A01359">
        <w:rPr>
          <w:i/>
          <w:sz w:val="18"/>
          <w:szCs w:val="18"/>
        </w:rPr>
        <w:t xml:space="preserve"> </w:t>
      </w:r>
      <w:r w:rsidR="00E113A5">
        <w:rPr>
          <w:sz w:val="18"/>
          <w:szCs w:val="18"/>
        </w:rPr>
        <w:t xml:space="preserve">from Legislative Appropriations from each biennium’s </w:t>
      </w:r>
      <w:r w:rsidR="00A01359" w:rsidRPr="00E113A5">
        <w:rPr>
          <w:sz w:val="18"/>
          <w:szCs w:val="18"/>
        </w:rPr>
        <w:t>and</w:t>
      </w:r>
      <w:r w:rsidR="00A01359">
        <w:rPr>
          <w:i/>
          <w:sz w:val="18"/>
          <w:szCs w:val="18"/>
        </w:rPr>
        <w:t xml:space="preserve"> </w:t>
      </w:r>
      <w:r w:rsidR="002F27EA">
        <w:rPr>
          <w:sz w:val="18"/>
          <w:szCs w:val="18"/>
        </w:rPr>
        <w:t>includes</w:t>
      </w:r>
      <w:r w:rsidR="00E113A5">
        <w:rPr>
          <w:sz w:val="18"/>
          <w:szCs w:val="18"/>
        </w:rPr>
        <w:t xml:space="preserve"> direct a</w:t>
      </w:r>
      <w:r w:rsidR="00A01359">
        <w:rPr>
          <w:sz w:val="18"/>
          <w:szCs w:val="18"/>
        </w:rPr>
        <w:t>ppropriations from all funds</w:t>
      </w:r>
      <w:r w:rsidR="0050006D">
        <w:rPr>
          <w:sz w:val="18"/>
          <w:szCs w:val="18"/>
        </w:rPr>
        <w:t xml:space="preserve"> net of legislatively mandated reductions.</w:t>
      </w:r>
    </w:p>
    <w:p w14:paraId="4C8AD7AC" w14:textId="77777777" w:rsidR="00453AAE" w:rsidRPr="00453AAE" w:rsidRDefault="00453AAE" w:rsidP="00453AAE"/>
    <w:sectPr w:rsidR="00453AAE" w:rsidRPr="00453AA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3A041" w14:textId="77777777" w:rsidR="004F54BE" w:rsidRDefault="004F54BE" w:rsidP="00493424">
      <w:pPr>
        <w:spacing w:after="0" w:line="240" w:lineRule="auto"/>
      </w:pPr>
      <w:r>
        <w:separator/>
      </w:r>
    </w:p>
  </w:endnote>
  <w:endnote w:type="continuationSeparator" w:id="0">
    <w:p w14:paraId="28C7A386" w14:textId="77777777" w:rsidR="004F54BE" w:rsidRDefault="004F54BE" w:rsidP="0049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F4BA" w14:textId="77777777" w:rsidR="00817960" w:rsidRDefault="0081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83D5" w14:textId="60B5DCDB" w:rsidR="00493424" w:rsidRPr="00493424" w:rsidRDefault="00817960" w:rsidP="00493424">
    <w:pPr>
      <w:pStyle w:val="Footer"/>
      <w:pBdr>
        <w:top w:val="thinThickSmallGap" w:sz="24" w:space="1" w:color="365F91" w:themeColor="accent1" w:themeShade="BF"/>
      </w:pBdr>
      <w:rPr>
        <w:rFonts w:eastAsiaTheme="majorEastAsia" w:cstheme="minorHAnsi"/>
        <w:sz w:val="18"/>
        <w:szCs w:val="18"/>
      </w:rPr>
    </w:pPr>
    <w:r>
      <w:rPr>
        <w:rFonts w:eastAsiaTheme="majorEastAsia" w:cstheme="minorHAnsi"/>
        <w:sz w:val="18"/>
        <w:szCs w:val="18"/>
      </w:rPr>
      <w:t>U.T. Tyler Budget and Financial Reporting Office</w:t>
    </w:r>
    <w:r w:rsidR="00493424" w:rsidRPr="00493424">
      <w:rPr>
        <w:rFonts w:eastAsiaTheme="majorEastAsia" w:cstheme="minorHAnsi"/>
        <w:sz w:val="18"/>
        <w:szCs w:val="18"/>
      </w:rPr>
      <w:tab/>
    </w:r>
    <w:r w:rsidR="00493424" w:rsidRPr="00493424">
      <w:rPr>
        <w:rFonts w:eastAsiaTheme="majorEastAsia" w:cstheme="minorHAnsi"/>
        <w:sz w:val="18"/>
        <w:szCs w:val="18"/>
      </w:rPr>
      <w:ptab w:relativeTo="margin" w:alignment="right" w:leader="none"/>
    </w:r>
    <w:r w:rsidR="00493424" w:rsidRPr="00493424">
      <w:rPr>
        <w:rFonts w:eastAsiaTheme="majorEastAsia" w:cstheme="minorHAnsi"/>
        <w:sz w:val="18"/>
        <w:szCs w:val="18"/>
      </w:rPr>
      <w:t xml:space="preserve">Page </w:t>
    </w:r>
    <w:r w:rsidR="00493424" w:rsidRPr="00493424">
      <w:rPr>
        <w:rFonts w:eastAsiaTheme="minorEastAsia" w:cstheme="minorHAnsi"/>
        <w:sz w:val="18"/>
        <w:szCs w:val="18"/>
      </w:rPr>
      <w:fldChar w:fldCharType="begin"/>
    </w:r>
    <w:r w:rsidR="00493424" w:rsidRPr="00493424">
      <w:rPr>
        <w:rFonts w:cstheme="minorHAnsi"/>
        <w:sz w:val="18"/>
        <w:szCs w:val="18"/>
      </w:rPr>
      <w:instrText xml:space="preserve"> PAGE   \* MERGEFORMAT </w:instrText>
    </w:r>
    <w:r w:rsidR="00493424" w:rsidRPr="00493424">
      <w:rPr>
        <w:rFonts w:eastAsiaTheme="minorEastAsia" w:cstheme="minorHAnsi"/>
        <w:sz w:val="18"/>
        <w:szCs w:val="18"/>
      </w:rPr>
      <w:fldChar w:fldCharType="separate"/>
    </w:r>
    <w:r w:rsidR="007C741A" w:rsidRPr="007C741A">
      <w:rPr>
        <w:rFonts w:eastAsiaTheme="majorEastAsia" w:cstheme="minorHAnsi"/>
        <w:noProof/>
        <w:sz w:val="18"/>
        <w:szCs w:val="18"/>
      </w:rPr>
      <w:t>3</w:t>
    </w:r>
    <w:r w:rsidR="00493424" w:rsidRPr="00493424">
      <w:rPr>
        <w:rFonts w:eastAsiaTheme="majorEastAsia" w:cstheme="minorHAnsi"/>
        <w:noProof/>
        <w:sz w:val="18"/>
        <w:szCs w:val="18"/>
      </w:rPr>
      <w:fldChar w:fldCharType="end"/>
    </w:r>
  </w:p>
  <w:p w14:paraId="7A3770BF" w14:textId="77777777" w:rsidR="00493424" w:rsidRDefault="00493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B4B8" w14:textId="77777777" w:rsidR="00817960" w:rsidRDefault="0081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3E95" w14:textId="77777777" w:rsidR="004F54BE" w:rsidRDefault="004F54BE" w:rsidP="00493424">
      <w:pPr>
        <w:spacing w:after="0" w:line="240" w:lineRule="auto"/>
      </w:pPr>
      <w:r>
        <w:separator/>
      </w:r>
    </w:p>
  </w:footnote>
  <w:footnote w:type="continuationSeparator" w:id="0">
    <w:p w14:paraId="1786A2E3" w14:textId="77777777" w:rsidR="004F54BE" w:rsidRDefault="004F54BE" w:rsidP="00493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C636" w14:textId="77777777" w:rsidR="00817960" w:rsidRDefault="0081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B56C" w14:textId="77777777" w:rsidR="00817960" w:rsidRDefault="00817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0506" w14:textId="77777777" w:rsidR="00817960" w:rsidRDefault="0081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525F"/>
    <w:multiLevelType w:val="hybridMultilevel"/>
    <w:tmpl w:val="B8D8C5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B"/>
    <w:rsid w:val="000242D2"/>
    <w:rsid w:val="0003429F"/>
    <w:rsid w:val="00063A19"/>
    <w:rsid w:val="000C6925"/>
    <w:rsid w:val="0012183A"/>
    <w:rsid w:val="001318F1"/>
    <w:rsid w:val="00166EFC"/>
    <w:rsid w:val="00192E49"/>
    <w:rsid w:val="001937D7"/>
    <w:rsid w:val="001B0880"/>
    <w:rsid w:val="001B1DD0"/>
    <w:rsid w:val="001C25D2"/>
    <w:rsid w:val="001F2B06"/>
    <w:rsid w:val="001F5C9F"/>
    <w:rsid w:val="00203C7D"/>
    <w:rsid w:val="0024761B"/>
    <w:rsid w:val="00252853"/>
    <w:rsid w:val="00265347"/>
    <w:rsid w:val="00285072"/>
    <w:rsid w:val="002C1154"/>
    <w:rsid w:val="002F117E"/>
    <w:rsid w:val="002F1D9C"/>
    <w:rsid w:val="002F27EA"/>
    <w:rsid w:val="002F3C0C"/>
    <w:rsid w:val="002F6194"/>
    <w:rsid w:val="00316FE8"/>
    <w:rsid w:val="003231F5"/>
    <w:rsid w:val="00334C4D"/>
    <w:rsid w:val="00342800"/>
    <w:rsid w:val="003534EB"/>
    <w:rsid w:val="003A0F74"/>
    <w:rsid w:val="003B01A0"/>
    <w:rsid w:val="003B3CAF"/>
    <w:rsid w:val="003F1EF2"/>
    <w:rsid w:val="00453AAE"/>
    <w:rsid w:val="00461969"/>
    <w:rsid w:val="00463665"/>
    <w:rsid w:val="00493424"/>
    <w:rsid w:val="00496DC6"/>
    <w:rsid w:val="004C3F92"/>
    <w:rsid w:val="004F54BE"/>
    <w:rsid w:val="0050006D"/>
    <w:rsid w:val="0050343A"/>
    <w:rsid w:val="00587C9F"/>
    <w:rsid w:val="005924D3"/>
    <w:rsid w:val="00620923"/>
    <w:rsid w:val="006400C6"/>
    <w:rsid w:val="0064329A"/>
    <w:rsid w:val="00653F0D"/>
    <w:rsid w:val="00665BCC"/>
    <w:rsid w:val="00673B09"/>
    <w:rsid w:val="006B2AAB"/>
    <w:rsid w:val="006C6123"/>
    <w:rsid w:val="0079374C"/>
    <w:rsid w:val="007C741A"/>
    <w:rsid w:val="007E31BE"/>
    <w:rsid w:val="007F3E4C"/>
    <w:rsid w:val="00804A64"/>
    <w:rsid w:val="00817960"/>
    <w:rsid w:val="008948FB"/>
    <w:rsid w:val="0091448E"/>
    <w:rsid w:val="00922659"/>
    <w:rsid w:val="0093520D"/>
    <w:rsid w:val="00954AC5"/>
    <w:rsid w:val="00981007"/>
    <w:rsid w:val="009B3D19"/>
    <w:rsid w:val="00A01359"/>
    <w:rsid w:val="00A273AE"/>
    <w:rsid w:val="00A36733"/>
    <w:rsid w:val="00A67056"/>
    <w:rsid w:val="00A92ABA"/>
    <w:rsid w:val="00AA1EE8"/>
    <w:rsid w:val="00AB07BD"/>
    <w:rsid w:val="00AC0918"/>
    <w:rsid w:val="00AC41D4"/>
    <w:rsid w:val="00AC580A"/>
    <w:rsid w:val="00AD1A7E"/>
    <w:rsid w:val="00AE1580"/>
    <w:rsid w:val="00AE366E"/>
    <w:rsid w:val="00B17B33"/>
    <w:rsid w:val="00B339E4"/>
    <w:rsid w:val="00B34369"/>
    <w:rsid w:val="00B84775"/>
    <w:rsid w:val="00BD7D4A"/>
    <w:rsid w:val="00C11720"/>
    <w:rsid w:val="00C24554"/>
    <w:rsid w:val="00C27ED1"/>
    <w:rsid w:val="00C30F13"/>
    <w:rsid w:val="00C32E02"/>
    <w:rsid w:val="00CD4204"/>
    <w:rsid w:val="00CE37CF"/>
    <w:rsid w:val="00D05357"/>
    <w:rsid w:val="00D27DE1"/>
    <w:rsid w:val="00D72C9E"/>
    <w:rsid w:val="00D85B75"/>
    <w:rsid w:val="00E113A5"/>
    <w:rsid w:val="00E2629A"/>
    <w:rsid w:val="00E55768"/>
    <w:rsid w:val="00F16783"/>
    <w:rsid w:val="00F41C8C"/>
    <w:rsid w:val="00F5758B"/>
    <w:rsid w:val="00F835AF"/>
    <w:rsid w:val="00FB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017FE"/>
  <w15:docId w15:val="{7569780C-C6D6-4F6A-9ED1-A62C7675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AE"/>
    <w:pPr>
      <w:ind w:left="720"/>
      <w:contextualSpacing/>
    </w:pPr>
  </w:style>
  <w:style w:type="table" w:styleId="TableGrid">
    <w:name w:val="Table Grid"/>
    <w:basedOn w:val="TableNormal"/>
    <w:uiPriority w:val="59"/>
    <w:rsid w:val="0049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24"/>
    <w:rPr>
      <w:rFonts w:ascii="Tahoma" w:hAnsi="Tahoma" w:cs="Tahoma"/>
      <w:sz w:val="16"/>
      <w:szCs w:val="16"/>
    </w:rPr>
  </w:style>
  <w:style w:type="paragraph" w:styleId="Header">
    <w:name w:val="header"/>
    <w:basedOn w:val="Normal"/>
    <w:link w:val="HeaderChar"/>
    <w:uiPriority w:val="99"/>
    <w:unhideWhenUsed/>
    <w:rsid w:val="0049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24"/>
  </w:style>
  <w:style w:type="paragraph" w:styleId="Footer">
    <w:name w:val="footer"/>
    <w:basedOn w:val="Normal"/>
    <w:link w:val="FooterChar"/>
    <w:uiPriority w:val="99"/>
    <w:unhideWhenUsed/>
    <w:rsid w:val="0049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24"/>
  </w:style>
  <w:style w:type="character" w:styleId="Hyperlink">
    <w:name w:val="Hyperlink"/>
    <w:basedOn w:val="DefaultParagraphFont"/>
    <w:uiPriority w:val="99"/>
    <w:semiHidden/>
    <w:unhideWhenUsed/>
    <w:rsid w:val="00A273AE"/>
    <w:rPr>
      <w:rFonts w:ascii="Times New Roman" w:hAnsi="Times New Roman" w:cs="Times New Roman" w:hint="default"/>
      <w:color w:val="000000"/>
      <w:u w:val="single"/>
    </w:rPr>
  </w:style>
  <w:style w:type="paragraph" w:styleId="NoSpacing">
    <w:name w:val="No Spacing"/>
    <w:uiPriority w:val="1"/>
    <w:qFormat/>
    <w:rsid w:val="00C32E02"/>
    <w:pPr>
      <w:spacing w:after="0" w:line="240" w:lineRule="auto"/>
    </w:pPr>
  </w:style>
  <w:style w:type="character" w:styleId="FollowedHyperlink">
    <w:name w:val="FollowedHyperlink"/>
    <w:basedOn w:val="DefaultParagraphFont"/>
    <w:uiPriority w:val="99"/>
    <w:semiHidden/>
    <w:unhideWhenUsed/>
    <w:rsid w:val="00461969"/>
    <w:rPr>
      <w:color w:val="800080" w:themeColor="followedHyperlink"/>
      <w:u w:val="single"/>
    </w:rPr>
  </w:style>
  <w:style w:type="character" w:styleId="CommentReference">
    <w:name w:val="annotation reference"/>
    <w:basedOn w:val="DefaultParagraphFont"/>
    <w:uiPriority w:val="99"/>
    <w:semiHidden/>
    <w:unhideWhenUsed/>
    <w:rsid w:val="00620923"/>
    <w:rPr>
      <w:sz w:val="16"/>
      <w:szCs w:val="16"/>
    </w:rPr>
  </w:style>
  <w:style w:type="paragraph" w:styleId="CommentText">
    <w:name w:val="annotation text"/>
    <w:basedOn w:val="Normal"/>
    <w:link w:val="CommentTextChar"/>
    <w:uiPriority w:val="99"/>
    <w:semiHidden/>
    <w:unhideWhenUsed/>
    <w:rsid w:val="00620923"/>
    <w:pPr>
      <w:spacing w:line="240" w:lineRule="auto"/>
    </w:pPr>
    <w:rPr>
      <w:sz w:val="20"/>
      <w:szCs w:val="20"/>
    </w:rPr>
  </w:style>
  <w:style w:type="character" w:customStyle="1" w:styleId="CommentTextChar">
    <w:name w:val="Comment Text Char"/>
    <w:basedOn w:val="DefaultParagraphFont"/>
    <w:link w:val="CommentText"/>
    <w:uiPriority w:val="99"/>
    <w:semiHidden/>
    <w:rsid w:val="00620923"/>
    <w:rPr>
      <w:sz w:val="20"/>
      <w:szCs w:val="20"/>
    </w:rPr>
  </w:style>
  <w:style w:type="paragraph" w:styleId="CommentSubject">
    <w:name w:val="annotation subject"/>
    <w:basedOn w:val="CommentText"/>
    <w:next w:val="CommentText"/>
    <w:link w:val="CommentSubjectChar"/>
    <w:uiPriority w:val="99"/>
    <w:semiHidden/>
    <w:unhideWhenUsed/>
    <w:rsid w:val="00620923"/>
    <w:rPr>
      <w:b/>
      <w:bCs/>
    </w:rPr>
  </w:style>
  <w:style w:type="character" w:customStyle="1" w:styleId="CommentSubjectChar">
    <w:name w:val="Comment Subject Char"/>
    <w:basedOn w:val="CommentTextChar"/>
    <w:link w:val="CommentSubject"/>
    <w:uiPriority w:val="99"/>
    <w:semiHidden/>
    <w:rsid w:val="00620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7395">
      <w:bodyDiv w:val="1"/>
      <w:marLeft w:val="0"/>
      <w:marRight w:val="0"/>
      <w:marTop w:val="0"/>
      <w:marBottom w:val="0"/>
      <w:divBdr>
        <w:top w:val="none" w:sz="0" w:space="0" w:color="auto"/>
        <w:left w:val="none" w:sz="0" w:space="0" w:color="auto"/>
        <w:bottom w:val="none" w:sz="0" w:space="0" w:color="auto"/>
        <w:right w:val="none" w:sz="0" w:space="0" w:color="auto"/>
      </w:divBdr>
    </w:div>
    <w:div w:id="331686516">
      <w:bodyDiv w:val="1"/>
      <w:marLeft w:val="0"/>
      <w:marRight w:val="0"/>
      <w:marTop w:val="0"/>
      <w:marBottom w:val="0"/>
      <w:divBdr>
        <w:top w:val="none" w:sz="0" w:space="0" w:color="auto"/>
        <w:left w:val="none" w:sz="0" w:space="0" w:color="auto"/>
        <w:bottom w:val="none" w:sz="0" w:space="0" w:color="auto"/>
        <w:right w:val="none" w:sz="0" w:space="0" w:color="auto"/>
      </w:divBdr>
    </w:div>
    <w:div w:id="372579981">
      <w:bodyDiv w:val="1"/>
      <w:marLeft w:val="0"/>
      <w:marRight w:val="0"/>
      <w:marTop w:val="0"/>
      <w:marBottom w:val="0"/>
      <w:divBdr>
        <w:top w:val="none" w:sz="0" w:space="0" w:color="auto"/>
        <w:left w:val="none" w:sz="0" w:space="0" w:color="auto"/>
        <w:bottom w:val="none" w:sz="0" w:space="0" w:color="auto"/>
        <w:right w:val="none" w:sz="0" w:space="0" w:color="auto"/>
      </w:divBdr>
    </w:div>
    <w:div w:id="382678507">
      <w:bodyDiv w:val="1"/>
      <w:marLeft w:val="0"/>
      <w:marRight w:val="0"/>
      <w:marTop w:val="0"/>
      <w:marBottom w:val="0"/>
      <w:divBdr>
        <w:top w:val="none" w:sz="0" w:space="0" w:color="auto"/>
        <w:left w:val="none" w:sz="0" w:space="0" w:color="auto"/>
        <w:bottom w:val="none" w:sz="0" w:space="0" w:color="auto"/>
        <w:right w:val="none" w:sz="0" w:space="0" w:color="auto"/>
      </w:divBdr>
    </w:div>
    <w:div w:id="385299277">
      <w:bodyDiv w:val="1"/>
      <w:marLeft w:val="0"/>
      <w:marRight w:val="0"/>
      <w:marTop w:val="0"/>
      <w:marBottom w:val="0"/>
      <w:divBdr>
        <w:top w:val="none" w:sz="0" w:space="0" w:color="auto"/>
        <w:left w:val="none" w:sz="0" w:space="0" w:color="auto"/>
        <w:bottom w:val="none" w:sz="0" w:space="0" w:color="auto"/>
        <w:right w:val="none" w:sz="0" w:space="0" w:color="auto"/>
      </w:divBdr>
    </w:div>
    <w:div w:id="487477286">
      <w:bodyDiv w:val="1"/>
      <w:marLeft w:val="0"/>
      <w:marRight w:val="0"/>
      <w:marTop w:val="0"/>
      <w:marBottom w:val="0"/>
      <w:divBdr>
        <w:top w:val="none" w:sz="0" w:space="0" w:color="auto"/>
        <w:left w:val="none" w:sz="0" w:space="0" w:color="auto"/>
        <w:bottom w:val="none" w:sz="0" w:space="0" w:color="auto"/>
        <w:right w:val="none" w:sz="0" w:space="0" w:color="auto"/>
      </w:divBdr>
    </w:div>
    <w:div w:id="610547738">
      <w:bodyDiv w:val="1"/>
      <w:marLeft w:val="0"/>
      <w:marRight w:val="0"/>
      <w:marTop w:val="0"/>
      <w:marBottom w:val="0"/>
      <w:divBdr>
        <w:top w:val="none" w:sz="0" w:space="0" w:color="auto"/>
        <w:left w:val="none" w:sz="0" w:space="0" w:color="auto"/>
        <w:bottom w:val="none" w:sz="0" w:space="0" w:color="auto"/>
        <w:right w:val="none" w:sz="0" w:space="0" w:color="auto"/>
      </w:divBdr>
    </w:div>
    <w:div w:id="717052450">
      <w:bodyDiv w:val="1"/>
      <w:marLeft w:val="0"/>
      <w:marRight w:val="0"/>
      <w:marTop w:val="0"/>
      <w:marBottom w:val="0"/>
      <w:divBdr>
        <w:top w:val="none" w:sz="0" w:space="0" w:color="auto"/>
        <w:left w:val="none" w:sz="0" w:space="0" w:color="auto"/>
        <w:bottom w:val="none" w:sz="0" w:space="0" w:color="auto"/>
        <w:right w:val="none" w:sz="0" w:space="0" w:color="auto"/>
      </w:divBdr>
    </w:div>
    <w:div w:id="1497186153">
      <w:bodyDiv w:val="1"/>
      <w:marLeft w:val="0"/>
      <w:marRight w:val="0"/>
      <w:marTop w:val="0"/>
      <w:marBottom w:val="0"/>
      <w:divBdr>
        <w:top w:val="none" w:sz="0" w:space="0" w:color="auto"/>
        <w:left w:val="none" w:sz="0" w:space="0" w:color="auto"/>
        <w:bottom w:val="none" w:sz="0" w:space="0" w:color="auto"/>
        <w:right w:val="none" w:sz="0" w:space="0" w:color="auto"/>
      </w:divBdr>
    </w:div>
    <w:div w:id="1538852809">
      <w:bodyDiv w:val="1"/>
      <w:marLeft w:val="0"/>
      <w:marRight w:val="0"/>
      <w:marTop w:val="0"/>
      <w:marBottom w:val="0"/>
      <w:divBdr>
        <w:top w:val="none" w:sz="0" w:space="0" w:color="auto"/>
        <w:left w:val="none" w:sz="0" w:space="0" w:color="auto"/>
        <w:bottom w:val="none" w:sz="0" w:space="0" w:color="auto"/>
        <w:right w:val="none" w:sz="0" w:space="0" w:color="auto"/>
      </w:divBdr>
    </w:div>
    <w:div w:id="1715232157">
      <w:bodyDiv w:val="1"/>
      <w:marLeft w:val="0"/>
      <w:marRight w:val="0"/>
      <w:marTop w:val="0"/>
      <w:marBottom w:val="0"/>
      <w:divBdr>
        <w:top w:val="none" w:sz="0" w:space="0" w:color="auto"/>
        <w:left w:val="none" w:sz="0" w:space="0" w:color="auto"/>
        <w:bottom w:val="none" w:sz="0" w:space="0" w:color="auto"/>
        <w:right w:val="none" w:sz="0" w:space="0" w:color="auto"/>
      </w:divBdr>
    </w:div>
    <w:div w:id="1866096014">
      <w:bodyDiv w:val="1"/>
      <w:marLeft w:val="0"/>
      <w:marRight w:val="0"/>
      <w:marTop w:val="0"/>
      <w:marBottom w:val="0"/>
      <w:divBdr>
        <w:top w:val="none" w:sz="0" w:space="0" w:color="auto"/>
        <w:left w:val="none" w:sz="0" w:space="0" w:color="auto"/>
        <w:bottom w:val="none" w:sz="0" w:space="0" w:color="auto"/>
        <w:right w:val="none" w:sz="0" w:space="0" w:color="auto"/>
      </w:divBdr>
    </w:div>
    <w:div w:id="1892879797">
      <w:bodyDiv w:val="1"/>
      <w:marLeft w:val="0"/>
      <w:marRight w:val="0"/>
      <w:marTop w:val="0"/>
      <w:marBottom w:val="0"/>
      <w:divBdr>
        <w:top w:val="none" w:sz="0" w:space="0" w:color="auto"/>
        <w:left w:val="none" w:sz="0" w:space="0" w:color="auto"/>
        <w:bottom w:val="none" w:sz="0" w:space="0" w:color="auto"/>
        <w:right w:val="none" w:sz="0" w:space="0" w:color="auto"/>
      </w:divBdr>
    </w:div>
    <w:div w:id="1898276504">
      <w:bodyDiv w:val="1"/>
      <w:marLeft w:val="0"/>
      <w:marRight w:val="0"/>
      <w:marTop w:val="0"/>
      <w:marBottom w:val="0"/>
      <w:divBdr>
        <w:top w:val="none" w:sz="0" w:space="0" w:color="auto"/>
        <w:left w:val="none" w:sz="0" w:space="0" w:color="auto"/>
        <w:bottom w:val="none" w:sz="0" w:space="0" w:color="auto"/>
        <w:right w:val="none" w:sz="0" w:space="0" w:color="auto"/>
      </w:divBdr>
    </w:div>
    <w:div w:id="19930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r.sao.state.tx.us/Publications/wfsummaries.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upahr.org/news/item.aspx?id=102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U. T. System Office of the Controller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8fe51a7a-26fa-43a3-b017-e58bc64cfb30">Updated template -- DUE DATE: 11.28.2016</Comments>
    <_dlc_DocId xmlns="2a3be547-8cf1-486b-8a27-bb82939ee649">HAH47WDUFTJF-333-84</_dlc_DocId>
    <_dlc_DocIdUrl xmlns="2a3be547-8cf1-486b-8a27-bb82939ee649">
      <Url>https://department.utsystem.edu/cont/InstBud/_layouts/DocIdRedir.aspx?ID=HAH47WDUFTJF-333-84</Url>
      <Description>HAH47WDUFTJF-333-84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5A455D1A58C746A6F40B939A234DA8" ma:contentTypeVersion="1" ma:contentTypeDescription="Create a new document." ma:contentTypeScope="" ma:versionID="665be91a490d8a58da00d95d9bba0884">
  <xsd:schema xmlns:xsd="http://www.w3.org/2001/XMLSchema" xmlns:xs="http://www.w3.org/2001/XMLSchema" xmlns:p="http://schemas.microsoft.com/office/2006/metadata/properties" xmlns:ns2="2a3be547-8cf1-486b-8a27-bb82939ee649" xmlns:ns3="8fe51a7a-26fa-43a3-b017-e58bc64cfb30" targetNamespace="http://schemas.microsoft.com/office/2006/metadata/properties" ma:root="true" ma:fieldsID="a80e0160b38b2065932341ca0b0c18b4" ns2:_="" ns3:_="">
    <xsd:import namespace="2a3be547-8cf1-486b-8a27-bb82939ee649"/>
    <xsd:import namespace="8fe51a7a-26fa-43a3-b017-e58bc64cfb3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e51a7a-26fa-43a3-b017-e58bc64cfb3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1BB80-E8EA-49FA-A190-997674D55B63}">
  <ds:schemaRefs>
    <ds:schemaRef ds:uri="http://schemas.microsoft.com/office/2006/documentManagement/types"/>
    <ds:schemaRef ds:uri="http://schemas.microsoft.com/office/infopath/2007/PartnerControls"/>
    <ds:schemaRef ds:uri="2a3be547-8cf1-486b-8a27-bb82939ee649"/>
    <ds:schemaRef ds:uri="8fe51a7a-26fa-43a3-b017-e58bc64cfb30"/>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F714C1-38C2-459D-9F16-E8C0FB7180E9}">
  <ds:schemaRefs>
    <ds:schemaRef ds:uri="http://schemas.microsoft.com/sharepoint/v3/contenttype/forms"/>
  </ds:schemaRefs>
</ds:datastoreItem>
</file>

<file path=customXml/itemProps4.xml><?xml version="1.0" encoding="utf-8"?>
<ds:datastoreItem xmlns:ds="http://schemas.openxmlformats.org/officeDocument/2006/customXml" ds:itemID="{A9EEB328-E82B-46ED-B4AF-9E18D6054B24}">
  <ds:schemaRefs>
    <ds:schemaRef ds:uri="http://schemas.microsoft.com/sharepoint/events"/>
  </ds:schemaRefs>
</ds:datastoreItem>
</file>

<file path=customXml/itemProps5.xml><?xml version="1.0" encoding="utf-8"?>
<ds:datastoreItem xmlns:ds="http://schemas.openxmlformats.org/officeDocument/2006/customXml" ds:itemID="{45787779-7462-4E48-A2D5-A7975494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8fe51a7a-26fa-43a3-b017-e58bc64c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BE260F-1D6D-45C2-A6C7-355C5C97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Staff Comp Template</dc:subject>
  <dc:creator>Franke, Sherill</dc:creator>
  <cp:lastModifiedBy>Eva Burnett</cp:lastModifiedBy>
  <cp:revision>3</cp:revision>
  <cp:lastPrinted>2016-10-25T14:12:00Z</cp:lastPrinted>
  <dcterms:created xsi:type="dcterms:W3CDTF">2016-11-30T00:07:00Z</dcterms:created>
  <dcterms:modified xsi:type="dcterms:W3CDTF">2016-11-30T00:08:00Z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0x010100765A455D1A58C746A6F40B939A234DA8</vt:lpwstr>
  </property>
  <property fmtid="{D5CDD505-2E9C-101B-9397-08002B2CF9AE}" pid="3" name="_dlc_DocIdItemGuid">
    <vt:lpwstr>aa740a1d-3cfa-4c09-a88a-2d3e4f19e129</vt:lpwstr>
  </property>
</Properties>
</file>