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CD52" w14:textId="77777777" w:rsidR="00007030" w:rsidRDefault="00007030" w:rsidP="00007030">
      <w:pPr>
        <w:jc w:val="center"/>
      </w:pPr>
    </w:p>
    <w:p w14:paraId="416B99A2" w14:textId="7BD2EFBF" w:rsidR="00007030" w:rsidRDefault="00270B97" w:rsidP="00007030">
      <w:pPr>
        <w:jc w:val="center"/>
      </w:pPr>
      <w:r>
        <w:t xml:space="preserve">Soules </w:t>
      </w:r>
      <w:r w:rsidR="00007030">
        <w:t xml:space="preserve">College of Business </w:t>
      </w:r>
      <w:r>
        <w:t xml:space="preserve"> </w:t>
      </w:r>
    </w:p>
    <w:p w14:paraId="57F1A355" w14:textId="77777777" w:rsidR="00007030" w:rsidRDefault="00007030" w:rsidP="00007030">
      <w:pPr>
        <w:jc w:val="center"/>
      </w:pPr>
      <w:r>
        <w:t>The University of Texas at Tyler</w:t>
      </w:r>
    </w:p>
    <w:p w14:paraId="6C13D8A8" w14:textId="77777777" w:rsidR="00007030" w:rsidRDefault="00007030" w:rsidP="00007030">
      <w:pPr>
        <w:jc w:val="center"/>
      </w:pPr>
    </w:p>
    <w:p w14:paraId="506B8AA2" w14:textId="77777777" w:rsidR="00007030" w:rsidRDefault="00054E46" w:rsidP="00007030">
      <w:pPr>
        <w:jc w:val="center"/>
      </w:pPr>
      <w:r>
        <w:t>HRD5347</w:t>
      </w:r>
      <w:r w:rsidR="002E5D26">
        <w:t xml:space="preserve"> </w:t>
      </w:r>
      <w:r>
        <w:t>Performance Consulting</w:t>
      </w:r>
    </w:p>
    <w:p w14:paraId="48B24E61" w14:textId="77777777" w:rsidR="00007030" w:rsidRDefault="00007030" w:rsidP="00007030">
      <w:pPr>
        <w:jc w:val="center"/>
      </w:pPr>
    </w:p>
    <w:p w14:paraId="7B75BDCB" w14:textId="77777777" w:rsidR="002E5D26" w:rsidRPr="00416548" w:rsidRDefault="002E5D26" w:rsidP="002E5D26">
      <w:pPr>
        <w:jc w:val="center"/>
        <w:rPr>
          <w:b/>
          <w:sz w:val="28"/>
          <w:szCs w:val="28"/>
        </w:rPr>
      </w:pPr>
      <w:r w:rsidRPr="00416548">
        <w:rPr>
          <w:b/>
          <w:sz w:val="28"/>
          <w:szCs w:val="28"/>
        </w:rPr>
        <w:t>Syllabus</w:t>
      </w:r>
    </w:p>
    <w:tbl>
      <w:tblPr>
        <w:tblpPr w:leftFromText="180" w:rightFromText="180" w:vertAnchor="text" w:horzAnchor="margin" w:tblpXSpec="center" w:tblpY="338"/>
        <w:tblW w:w="10368" w:type="dxa"/>
        <w:tblLook w:val="04A0" w:firstRow="1" w:lastRow="0" w:firstColumn="1" w:lastColumn="0" w:noHBand="0" w:noVBand="1"/>
      </w:tblPr>
      <w:tblGrid>
        <w:gridCol w:w="1440"/>
        <w:gridCol w:w="3078"/>
        <w:gridCol w:w="2070"/>
        <w:gridCol w:w="3780"/>
      </w:tblGrid>
      <w:tr w:rsidR="002E5D26" w:rsidRPr="002E565C" w14:paraId="3F982DB8" w14:textId="77777777" w:rsidTr="00270B97">
        <w:trPr>
          <w:trHeight w:val="332"/>
        </w:trPr>
        <w:tc>
          <w:tcPr>
            <w:tcW w:w="1440" w:type="dxa"/>
            <w:vAlign w:val="bottom"/>
          </w:tcPr>
          <w:p w14:paraId="6EFF1DCA" w14:textId="77777777" w:rsidR="002E5D26" w:rsidRPr="002E565C" w:rsidRDefault="002E5D26" w:rsidP="00270B97">
            <w:r w:rsidRPr="002E565C">
              <w:t>Course:</w:t>
            </w:r>
          </w:p>
        </w:tc>
        <w:tc>
          <w:tcPr>
            <w:tcW w:w="3078" w:type="dxa"/>
            <w:vAlign w:val="bottom"/>
          </w:tcPr>
          <w:p w14:paraId="4C26B0C3" w14:textId="7A1EABE5" w:rsidR="002E5D26" w:rsidRPr="002E565C" w:rsidRDefault="002E5D26" w:rsidP="002E5D26">
            <w:r w:rsidRPr="002E565C">
              <w:rPr>
                <w:rStyle w:val="PlaceholderText"/>
                <w:color w:val="auto"/>
              </w:rPr>
              <w:t>HRD5347</w:t>
            </w:r>
            <w:r w:rsidR="008016BD">
              <w:rPr>
                <w:rStyle w:val="PlaceholderText"/>
                <w:color w:val="auto"/>
              </w:rPr>
              <w:t>.701</w:t>
            </w:r>
          </w:p>
        </w:tc>
        <w:tc>
          <w:tcPr>
            <w:tcW w:w="2070" w:type="dxa"/>
            <w:vAlign w:val="bottom"/>
          </w:tcPr>
          <w:p w14:paraId="035815B7" w14:textId="77777777" w:rsidR="002E5D26" w:rsidRPr="002E565C" w:rsidRDefault="002E5D26" w:rsidP="008016BD">
            <w:r w:rsidRPr="002E565C">
              <w:t>Instructor:</w:t>
            </w:r>
          </w:p>
        </w:tc>
        <w:tc>
          <w:tcPr>
            <w:tcW w:w="3780" w:type="dxa"/>
            <w:vAlign w:val="bottom"/>
          </w:tcPr>
          <w:p w14:paraId="6545BE08" w14:textId="77777777" w:rsidR="002E5D26" w:rsidRPr="002E565C" w:rsidRDefault="00B054D4" w:rsidP="00DA308B">
            <w:r>
              <w:rPr>
                <w:rStyle w:val="PlaceholderText"/>
                <w:color w:val="auto"/>
              </w:rPr>
              <w:t xml:space="preserve">Dr. </w:t>
            </w:r>
            <w:r w:rsidR="006B01DB">
              <w:rPr>
                <w:rStyle w:val="PlaceholderText"/>
                <w:color w:val="auto"/>
              </w:rPr>
              <w:t>Judy Y. Sun</w:t>
            </w:r>
          </w:p>
        </w:tc>
      </w:tr>
      <w:tr w:rsidR="002E5D26" w:rsidRPr="002E565C" w14:paraId="7789AA38" w14:textId="77777777" w:rsidTr="00DA308B">
        <w:trPr>
          <w:trHeight w:val="288"/>
        </w:trPr>
        <w:tc>
          <w:tcPr>
            <w:tcW w:w="1440" w:type="dxa"/>
            <w:vAlign w:val="bottom"/>
          </w:tcPr>
          <w:p w14:paraId="4C1ECC80" w14:textId="48E82305" w:rsidR="002E5D26" w:rsidRPr="002E565C" w:rsidRDefault="002E5D26" w:rsidP="00270B97">
            <w:r w:rsidRPr="002E565C">
              <w:t>Title:</w:t>
            </w:r>
          </w:p>
        </w:tc>
        <w:tc>
          <w:tcPr>
            <w:tcW w:w="3078" w:type="dxa"/>
            <w:vAlign w:val="bottom"/>
          </w:tcPr>
          <w:p w14:paraId="5498307A" w14:textId="77777777" w:rsidR="002E5D26" w:rsidRPr="002E565C" w:rsidRDefault="002E5D26" w:rsidP="002E5D26">
            <w:pPr>
              <w:pStyle w:val="Title"/>
              <w:jc w:val="left"/>
              <w:rPr>
                <w:rFonts w:ascii="Times New Roman" w:hAnsi="Times New Roman"/>
                <w:b w:val="0"/>
                <w:sz w:val="24"/>
                <w:szCs w:val="24"/>
              </w:rPr>
            </w:pPr>
            <w:r w:rsidRPr="002E565C">
              <w:rPr>
                <w:rFonts w:ascii="Times New Roman" w:hAnsi="Times New Roman"/>
                <w:b w:val="0"/>
                <w:sz w:val="24"/>
                <w:szCs w:val="24"/>
              </w:rPr>
              <w:t xml:space="preserve">Performance Consulting </w:t>
            </w:r>
          </w:p>
        </w:tc>
        <w:tc>
          <w:tcPr>
            <w:tcW w:w="2070" w:type="dxa"/>
            <w:vAlign w:val="bottom"/>
          </w:tcPr>
          <w:p w14:paraId="6D889A53" w14:textId="77777777" w:rsidR="002E5D26" w:rsidRPr="002E565C" w:rsidRDefault="002E5D26" w:rsidP="008016BD">
            <w:r w:rsidRPr="002E565C">
              <w:t>Office:</w:t>
            </w:r>
          </w:p>
        </w:tc>
        <w:tc>
          <w:tcPr>
            <w:tcW w:w="3780" w:type="dxa"/>
            <w:vAlign w:val="bottom"/>
          </w:tcPr>
          <w:p w14:paraId="2C955279" w14:textId="1B982553" w:rsidR="002E5D26" w:rsidRPr="002E565C" w:rsidRDefault="00270B97" w:rsidP="006B01DB">
            <w:r>
              <w:rPr>
                <w:rStyle w:val="PlaceholderText"/>
                <w:color w:val="auto"/>
              </w:rPr>
              <w:t>COB 315.18</w:t>
            </w:r>
          </w:p>
        </w:tc>
      </w:tr>
      <w:tr w:rsidR="002E5D26" w:rsidRPr="002E565C" w14:paraId="53B39F76" w14:textId="77777777" w:rsidTr="00DA308B">
        <w:trPr>
          <w:trHeight w:val="288"/>
        </w:trPr>
        <w:tc>
          <w:tcPr>
            <w:tcW w:w="1440" w:type="dxa"/>
            <w:vAlign w:val="bottom"/>
          </w:tcPr>
          <w:p w14:paraId="7754245F" w14:textId="77777777" w:rsidR="002E5D26" w:rsidRPr="002E565C" w:rsidRDefault="002E5D26" w:rsidP="00270B97">
            <w:r w:rsidRPr="002E565C">
              <w:t>Section:</w:t>
            </w:r>
          </w:p>
        </w:tc>
        <w:tc>
          <w:tcPr>
            <w:tcW w:w="3078" w:type="dxa"/>
            <w:vAlign w:val="bottom"/>
          </w:tcPr>
          <w:p w14:paraId="72043E6E" w14:textId="77777777" w:rsidR="002E5D26" w:rsidRPr="002E565C" w:rsidRDefault="002E5D26" w:rsidP="00DA308B">
            <w:r w:rsidRPr="002E565C">
              <w:rPr>
                <w:rStyle w:val="PlaceholderText"/>
                <w:color w:val="auto"/>
              </w:rPr>
              <w:t>060</w:t>
            </w:r>
          </w:p>
        </w:tc>
        <w:tc>
          <w:tcPr>
            <w:tcW w:w="2070" w:type="dxa"/>
            <w:vAlign w:val="bottom"/>
          </w:tcPr>
          <w:p w14:paraId="27DBEDC9" w14:textId="25B1DCD4" w:rsidR="002E5D26" w:rsidRPr="002E565C" w:rsidRDefault="004D143E" w:rsidP="003B5F18">
            <w:r>
              <w:t xml:space="preserve"> </w:t>
            </w:r>
          </w:p>
        </w:tc>
        <w:tc>
          <w:tcPr>
            <w:tcW w:w="3780" w:type="dxa"/>
            <w:vAlign w:val="bottom"/>
          </w:tcPr>
          <w:p w14:paraId="3B3DFA2F" w14:textId="770B0262" w:rsidR="00675E23" w:rsidRPr="002E565C" w:rsidRDefault="004D143E" w:rsidP="004D143E">
            <w:r>
              <w:rPr>
                <w:rStyle w:val="PlaceholderText"/>
                <w:color w:val="auto"/>
              </w:rPr>
              <w:t xml:space="preserve">  </w:t>
            </w:r>
          </w:p>
        </w:tc>
      </w:tr>
      <w:tr w:rsidR="002E5D26" w:rsidRPr="002E565C" w14:paraId="4E777ECB" w14:textId="77777777" w:rsidTr="003B5F18">
        <w:trPr>
          <w:trHeight w:val="584"/>
        </w:trPr>
        <w:tc>
          <w:tcPr>
            <w:tcW w:w="1440" w:type="dxa"/>
            <w:vAlign w:val="bottom"/>
          </w:tcPr>
          <w:p w14:paraId="2CF94929" w14:textId="53AF1B81" w:rsidR="002E5D26" w:rsidRPr="002E565C" w:rsidRDefault="003B5F18" w:rsidP="008016BD">
            <w:r>
              <w:t>S</w:t>
            </w:r>
            <w:r w:rsidR="002E5D26" w:rsidRPr="002E565C">
              <w:t>emester:</w:t>
            </w:r>
          </w:p>
        </w:tc>
        <w:tc>
          <w:tcPr>
            <w:tcW w:w="3078" w:type="dxa"/>
            <w:vAlign w:val="bottom"/>
          </w:tcPr>
          <w:p w14:paraId="727874D2" w14:textId="6FDFC035" w:rsidR="002E5D26" w:rsidRPr="002E565C" w:rsidRDefault="003B5F18" w:rsidP="00DA308B">
            <w:r>
              <w:rPr>
                <w:rStyle w:val="PlaceholderText"/>
                <w:color w:val="auto"/>
              </w:rPr>
              <w:t xml:space="preserve">Spring </w:t>
            </w:r>
            <w:r w:rsidR="002E5D26" w:rsidRPr="002E565C">
              <w:rPr>
                <w:rStyle w:val="PlaceholderText"/>
                <w:color w:val="auto"/>
              </w:rPr>
              <w:t>20</w:t>
            </w:r>
            <w:r w:rsidR="00CF7764">
              <w:rPr>
                <w:rStyle w:val="PlaceholderText"/>
                <w:color w:val="auto"/>
              </w:rPr>
              <w:t>2</w:t>
            </w:r>
            <w:r w:rsidR="0033389D">
              <w:rPr>
                <w:rStyle w:val="PlaceholderText"/>
                <w:color w:val="auto"/>
              </w:rPr>
              <w:t>4</w:t>
            </w:r>
          </w:p>
        </w:tc>
        <w:tc>
          <w:tcPr>
            <w:tcW w:w="2070" w:type="dxa"/>
            <w:vAlign w:val="bottom"/>
          </w:tcPr>
          <w:p w14:paraId="12268EB5" w14:textId="77777777" w:rsidR="00675E23" w:rsidRDefault="00675E23" w:rsidP="008016BD">
            <w:r>
              <w:t xml:space="preserve"> </w:t>
            </w:r>
          </w:p>
          <w:p w14:paraId="6C3D7750" w14:textId="33716BB0" w:rsidR="002E5D26" w:rsidRPr="002E565C" w:rsidRDefault="002E5D26" w:rsidP="008016BD">
            <w:pPr>
              <w:ind w:right="600"/>
            </w:pPr>
            <w:r w:rsidRPr="002E565C">
              <w:t>Availability:</w:t>
            </w:r>
          </w:p>
        </w:tc>
        <w:tc>
          <w:tcPr>
            <w:tcW w:w="3780" w:type="dxa"/>
            <w:vAlign w:val="bottom"/>
          </w:tcPr>
          <w:p w14:paraId="139CF1CE" w14:textId="14128A24" w:rsidR="003B5F18" w:rsidRDefault="003B5F18" w:rsidP="003B5F18">
            <w:r>
              <w:t xml:space="preserve">  </w:t>
            </w:r>
          </w:p>
          <w:p w14:paraId="16E94093" w14:textId="77777777" w:rsidR="003B5F18" w:rsidRDefault="003B5F18" w:rsidP="00DA308B"/>
          <w:p w14:paraId="5B7DAB9C" w14:textId="77777777" w:rsidR="008016BD" w:rsidRDefault="008016BD" w:rsidP="00DA308B">
            <w:r>
              <w:t>Tuesday 12pm – 3pm</w:t>
            </w:r>
          </w:p>
          <w:p w14:paraId="0D1735CC" w14:textId="37687AF1" w:rsidR="002E5D26" w:rsidRPr="002E565C" w:rsidRDefault="008016BD" w:rsidP="00DA308B">
            <w:r>
              <w:t xml:space="preserve">Other time </w:t>
            </w:r>
            <w:proofErr w:type="gramStart"/>
            <w:r w:rsidR="002E5D26" w:rsidRPr="002E565C">
              <w:t>By</w:t>
            </w:r>
            <w:proofErr w:type="gramEnd"/>
            <w:r w:rsidR="002E5D26" w:rsidRPr="002E565C">
              <w:t xml:space="preserve"> appointment </w:t>
            </w:r>
          </w:p>
        </w:tc>
      </w:tr>
      <w:tr w:rsidR="00E948AA" w:rsidRPr="002E565C" w14:paraId="1308853A" w14:textId="77777777" w:rsidTr="003B5F18">
        <w:trPr>
          <w:trHeight w:val="584"/>
        </w:trPr>
        <w:tc>
          <w:tcPr>
            <w:tcW w:w="1440" w:type="dxa"/>
            <w:vAlign w:val="bottom"/>
          </w:tcPr>
          <w:p w14:paraId="76B75310" w14:textId="77764A0F" w:rsidR="00E948AA" w:rsidRPr="002E565C" w:rsidRDefault="00E948AA" w:rsidP="008016BD">
            <w:r w:rsidRPr="002E565C">
              <w:t>Class Time:</w:t>
            </w:r>
          </w:p>
        </w:tc>
        <w:tc>
          <w:tcPr>
            <w:tcW w:w="3078" w:type="dxa"/>
            <w:vAlign w:val="bottom"/>
          </w:tcPr>
          <w:p w14:paraId="71FA8C90" w14:textId="10042028" w:rsidR="00E948AA" w:rsidRDefault="00E948AA" w:rsidP="00DA308B">
            <w:pPr>
              <w:rPr>
                <w:rStyle w:val="PlaceholderText"/>
                <w:color w:val="auto"/>
              </w:rPr>
            </w:pPr>
            <w:r w:rsidRPr="002E565C">
              <w:rPr>
                <w:rStyle w:val="PlaceholderText"/>
                <w:color w:val="auto"/>
              </w:rPr>
              <w:t>Online</w:t>
            </w:r>
          </w:p>
        </w:tc>
        <w:tc>
          <w:tcPr>
            <w:tcW w:w="2070" w:type="dxa"/>
            <w:vAlign w:val="bottom"/>
          </w:tcPr>
          <w:p w14:paraId="33EF64FA" w14:textId="09525801" w:rsidR="00E948AA" w:rsidRDefault="00E948AA" w:rsidP="008016BD">
            <w:r w:rsidRPr="002E565C">
              <w:t>Phone #:</w:t>
            </w:r>
          </w:p>
        </w:tc>
        <w:tc>
          <w:tcPr>
            <w:tcW w:w="3780" w:type="dxa"/>
            <w:vAlign w:val="bottom"/>
          </w:tcPr>
          <w:p w14:paraId="02019D9F" w14:textId="3706DE0E" w:rsidR="00E948AA" w:rsidRDefault="00E948AA" w:rsidP="003B5F18">
            <w:r w:rsidRPr="002E565C">
              <w:rPr>
                <w:rStyle w:val="PlaceholderText"/>
                <w:color w:val="auto"/>
              </w:rPr>
              <w:t>903-565-591</w:t>
            </w:r>
            <w:r>
              <w:rPr>
                <w:rStyle w:val="PlaceholderText"/>
                <w:color w:val="auto"/>
              </w:rPr>
              <w:t>2</w:t>
            </w:r>
          </w:p>
        </w:tc>
      </w:tr>
      <w:tr w:rsidR="00E948AA" w:rsidRPr="002E565C" w14:paraId="6F428799" w14:textId="77777777" w:rsidTr="003B5F18">
        <w:trPr>
          <w:trHeight w:val="323"/>
        </w:trPr>
        <w:tc>
          <w:tcPr>
            <w:tcW w:w="1440" w:type="dxa"/>
            <w:vAlign w:val="bottom"/>
          </w:tcPr>
          <w:p w14:paraId="5948079D" w14:textId="0C5975DD" w:rsidR="00E948AA" w:rsidRPr="002E565C" w:rsidRDefault="00E948AA" w:rsidP="008016BD">
            <w:r w:rsidRPr="002E565C">
              <w:t>Email:</w:t>
            </w:r>
          </w:p>
        </w:tc>
        <w:tc>
          <w:tcPr>
            <w:tcW w:w="3078" w:type="dxa"/>
            <w:vAlign w:val="bottom"/>
          </w:tcPr>
          <w:p w14:paraId="3B58F205" w14:textId="521C415F" w:rsidR="00E948AA" w:rsidRPr="002E565C" w:rsidRDefault="00E948AA" w:rsidP="00DA308B">
            <w:r>
              <w:t>jsun@uttyler.edu</w:t>
            </w:r>
          </w:p>
        </w:tc>
        <w:tc>
          <w:tcPr>
            <w:tcW w:w="2070" w:type="dxa"/>
            <w:vAlign w:val="bottom"/>
          </w:tcPr>
          <w:p w14:paraId="5E497771" w14:textId="4CE58F6B" w:rsidR="00E948AA" w:rsidRPr="002E565C" w:rsidRDefault="00E948AA" w:rsidP="008016BD">
            <w:r w:rsidRPr="002E565C">
              <w:t>Preferred Contact:</w:t>
            </w:r>
          </w:p>
        </w:tc>
        <w:tc>
          <w:tcPr>
            <w:tcW w:w="3780" w:type="dxa"/>
            <w:vAlign w:val="bottom"/>
          </w:tcPr>
          <w:p w14:paraId="43780AC9" w14:textId="4A4775AF" w:rsidR="00E948AA" w:rsidRPr="002E565C" w:rsidRDefault="00E948AA" w:rsidP="006B01DB">
            <w:r w:rsidRPr="002E565C">
              <w:t xml:space="preserve">Email </w:t>
            </w:r>
          </w:p>
        </w:tc>
      </w:tr>
      <w:tr w:rsidR="00E948AA" w:rsidRPr="002E565C" w14:paraId="39EA07ED" w14:textId="77777777" w:rsidTr="00DA308B">
        <w:trPr>
          <w:trHeight w:val="288"/>
        </w:trPr>
        <w:tc>
          <w:tcPr>
            <w:tcW w:w="1440" w:type="dxa"/>
            <w:vAlign w:val="bottom"/>
          </w:tcPr>
          <w:p w14:paraId="6658FCD4" w14:textId="3C885A6F" w:rsidR="00E948AA" w:rsidRPr="002E565C" w:rsidRDefault="00E948AA" w:rsidP="008016BD"/>
        </w:tc>
        <w:tc>
          <w:tcPr>
            <w:tcW w:w="3078" w:type="dxa"/>
            <w:vAlign w:val="bottom"/>
          </w:tcPr>
          <w:p w14:paraId="7EE841C7" w14:textId="5ED8C19C" w:rsidR="00E948AA" w:rsidRPr="002E565C" w:rsidRDefault="00E948AA" w:rsidP="00DA308B"/>
        </w:tc>
        <w:tc>
          <w:tcPr>
            <w:tcW w:w="2070" w:type="dxa"/>
            <w:vAlign w:val="bottom"/>
          </w:tcPr>
          <w:p w14:paraId="2F307DA8" w14:textId="509E2AB2" w:rsidR="00E948AA" w:rsidRPr="002E565C" w:rsidRDefault="00E948AA" w:rsidP="008016BD"/>
        </w:tc>
        <w:tc>
          <w:tcPr>
            <w:tcW w:w="3780" w:type="dxa"/>
            <w:vAlign w:val="bottom"/>
          </w:tcPr>
          <w:p w14:paraId="7251745D" w14:textId="7AF97F86" w:rsidR="00E948AA" w:rsidRPr="002E565C" w:rsidRDefault="00E948AA" w:rsidP="00680F7E"/>
        </w:tc>
      </w:tr>
    </w:tbl>
    <w:p w14:paraId="623ED78D" w14:textId="77777777" w:rsidR="002E5D26" w:rsidRPr="002E565C" w:rsidRDefault="002E5D26" w:rsidP="002E5D26">
      <w:pPr>
        <w:pStyle w:val="Title"/>
        <w:rPr>
          <w:rFonts w:ascii="Times New Roman" w:hAnsi="Times New Roman"/>
          <w:b w:val="0"/>
          <w:sz w:val="24"/>
          <w:szCs w:val="24"/>
        </w:rPr>
      </w:pPr>
    </w:p>
    <w:p w14:paraId="1FE02EDD" w14:textId="77777777" w:rsidR="008E250C" w:rsidRPr="002E565C" w:rsidRDefault="008E250C" w:rsidP="00007030">
      <w:pPr>
        <w:jc w:val="center"/>
      </w:pPr>
    </w:p>
    <w:p w14:paraId="7672AAAD" w14:textId="77777777" w:rsidR="00A62E1C" w:rsidRPr="00A62E1C" w:rsidRDefault="00A62E1C" w:rsidP="00FD7342">
      <w:pPr>
        <w:jc w:val="center"/>
        <w:rPr>
          <w:b/>
        </w:rPr>
      </w:pPr>
      <w:r w:rsidRPr="00A62E1C">
        <w:rPr>
          <w:b/>
        </w:rPr>
        <w:t>Welcome</w:t>
      </w:r>
    </w:p>
    <w:p w14:paraId="280A993F" w14:textId="77777777" w:rsidR="00A62E1C" w:rsidRDefault="00A62E1C" w:rsidP="00A62E1C"/>
    <w:p w14:paraId="39A5DD07" w14:textId="327AA426" w:rsidR="00A62E1C" w:rsidRDefault="00A62E1C" w:rsidP="00A62E1C">
      <w:r>
        <w:t xml:space="preserve">Welcome to the HRD online program at UT Tyler and to </w:t>
      </w:r>
      <w:r w:rsidR="00054E46">
        <w:t>HRD</w:t>
      </w:r>
      <w:r w:rsidR="00E948AA">
        <w:t xml:space="preserve"> </w:t>
      </w:r>
      <w:r w:rsidR="00054E46">
        <w:t>5347</w:t>
      </w:r>
      <w:r>
        <w:t xml:space="preserve">, </w:t>
      </w:r>
      <w:r w:rsidR="00054E46">
        <w:t>Performance Consulting</w:t>
      </w:r>
      <w:r>
        <w:t xml:space="preserve">. I am your instructor, </w:t>
      </w:r>
      <w:r w:rsidR="00B054D4">
        <w:t xml:space="preserve">Dr. </w:t>
      </w:r>
      <w:r w:rsidR="006B01DB">
        <w:t xml:space="preserve">Judy </w:t>
      </w:r>
      <w:r w:rsidR="00B054D4">
        <w:t xml:space="preserve">Yi </w:t>
      </w:r>
      <w:r w:rsidR="006B01DB">
        <w:t>Sun</w:t>
      </w:r>
      <w:r>
        <w:t xml:space="preserve">; and I look forward to meeting you in our virtual classroom. This course is designed to help students with various backgrounds understand and practice the basic steps in </w:t>
      </w:r>
      <w:r w:rsidR="003155FA">
        <w:t>performance consulting</w:t>
      </w:r>
      <w:r>
        <w:t xml:space="preserve">. </w:t>
      </w:r>
    </w:p>
    <w:p w14:paraId="2B1D38E6" w14:textId="77777777" w:rsidR="00A62E1C" w:rsidRDefault="00A62E1C" w:rsidP="00A62E1C"/>
    <w:p w14:paraId="1B1CA3DA" w14:textId="77777777" w:rsidR="00A62E1C" w:rsidRDefault="00411914" w:rsidP="00A62E1C">
      <w:r>
        <w:t>T</w:t>
      </w:r>
      <w:r w:rsidR="00A62E1C">
        <w:t xml:space="preserve">his course </w:t>
      </w:r>
      <w:r>
        <w:t xml:space="preserve">is developed </w:t>
      </w:r>
      <w:r w:rsidR="00A62E1C">
        <w:t xml:space="preserve">in a modular format to assist you in organizing your time and efforts. Each module will describe a particular aspect of </w:t>
      </w:r>
      <w:r w:rsidR="003155FA">
        <w:t>performance consulting</w:t>
      </w:r>
      <w:r w:rsidR="00A62E1C">
        <w:t xml:space="preserve"> and will provide resources for further </w:t>
      </w:r>
      <w:r w:rsidR="003155FA">
        <w:t>studies</w:t>
      </w:r>
      <w:r w:rsidR="00A62E1C">
        <w:t xml:space="preserve">. Each module will specify required reading, writing, and discussion requirements. </w:t>
      </w:r>
      <w:r w:rsidR="00B054D4">
        <w:t>Five module guidelines will soon be uploaded on blackboard under “Modules”.</w:t>
      </w:r>
    </w:p>
    <w:p w14:paraId="34C6A2EF" w14:textId="77777777" w:rsidR="00A62E1C" w:rsidRDefault="00A62E1C" w:rsidP="00A62E1C"/>
    <w:p w14:paraId="43658244" w14:textId="7CDECC8E" w:rsidR="00B75C17" w:rsidRDefault="00B8356A" w:rsidP="00A62E1C">
      <w:r>
        <w:t>Before go to the first Module, p</w:t>
      </w:r>
      <w:r w:rsidR="00A62E1C">
        <w:t xml:space="preserve">lease </w:t>
      </w:r>
      <w:r w:rsidR="00B054D4">
        <w:t xml:space="preserve">first </w:t>
      </w:r>
      <w:r w:rsidR="00B75C17">
        <w:t>r</w:t>
      </w:r>
      <w:r w:rsidR="00A62E1C">
        <w:t xml:space="preserve">ead through each section </w:t>
      </w:r>
      <w:r w:rsidR="00B75C17">
        <w:t xml:space="preserve">of the Syllabus </w:t>
      </w:r>
      <w:r w:rsidR="00A62E1C">
        <w:t xml:space="preserve">carefully. If you have any questions, </w:t>
      </w:r>
      <w:r w:rsidR="003B5F18">
        <w:t>please email me anytime</w:t>
      </w:r>
      <w:r w:rsidR="00A62E1C">
        <w:t xml:space="preserve">. </w:t>
      </w:r>
      <w:r w:rsidR="003B5F18">
        <w:t>You need to</w:t>
      </w:r>
      <w:r w:rsidR="00A62E1C">
        <w:t xml:space="preserve"> refer back to the information contained in this Syllabus anytime you have a question regarding the basic course information. You </w:t>
      </w:r>
      <w:r w:rsidR="00B75C17">
        <w:t>may wish to print out the Syllabus for your future references along the learning process.</w:t>
      </w:r>
    </w:p>
    <w:p w14:paraId="28434392" w14:textId="77777777" w:rsidR="00A62E1C" w:rsidRDefault="00A62E1C" w:rsidP="00A62E1C">
      <w:r>
        <w:t xml:space="preserve"> </w:t>
      </w:r>
    </w:p>
    <w:p w14:paraId="3783FBDA" w14:textId="507DE3D7" w:rsidR="00A62E1C" w:rsidRDefault="00B054D4" w:rsidP="00A62E1C">
      <w:r>
        <w:t>I</w:t>
      </w:r>
      <w:r w:rsidR="00A62E1C">
        <w:t>f you are unfamiliar with accessing the Internet or have questions regarding technical requiremen</w:t>
      </w:r>
      <w:r w:rsidR="004D143E">
        <w:t xml:space="preserve">ts, you may want to look at the </w:t>
      </w:r>
      <w:r w:rsidR="00A62E1C">
        <w:t xml:space="preserve">services available in the Technical Support section of the UT </w:t>
      </w:r>
      <w:r w:rsidR="009356BA">
        <w:t xml:space="preserve">Tyler </w:t>
      </w:r>
      <w:r w:rsidR="00A62E1C">
        <w:t xml:space="preserve">home page. A list of basic technical requirements is also listed in this Syllabus for your convenience. In addition, you can access the UT </w:t>
      </w:r>
      <w:r w:rsidR="009356BA">
        <w:t>Tyler website</w:t>
      </w:r>
      <w:r w:rsidR="004D143E">
        <w:t xml:space="preserve"> for general information</w:t>
      </w:r>
      <w:r w:rsidR="00A62E1C">
        <w:t xml:space="preserve">. </w:t>
      </w:r>
    </w:p>
    <w:p w14:paraId="5D619C6E" w14:textId="77777777" w:rsidR="00BE2148" w:rsidRDefault="00BE2148" w:rsidP="00A62E1C"/>
    <w:p w14:paraId="3E4117E8" w14:textId="235E1034" w:rsidR="00A62E1C" w:rsidRPr="00FD7342" w:rsidRDefault="003B5F18" w:rsidP="00B37329">
      <w:pPr>
        <w:jc w:val="center"/>
        <w:rPr>
          <w:b/>
        </w:rPr>
      </w:pPr>
      <w:r>
        <w:t xml:space="preserve"> </w:t>
      </w:r>
      <w:r w:rsidR="00A62E1C" w:rsidRPr="00FD7342">
        <w:rPr>
          <w:b/>
        </w:rPr>
        <w:t>Introduction</w:t>
      </w:r>
    </w:p>
    <w:p w14:paraId="623EE7CF" w14:textId="77777777" w:rsidR="00A62E1C" w:rsidRDefault="00A62E1C" w:rsidP="00A62E1C"/>
    <w:p w14:paraId="224FE9CF" w14:textId="167CBC41" w:rsidR="00EC7DB1" w:rsidRDefault="00A62E1C" w:rsidP="00A62E1C">
      <w:r>
        <w:lastRenderedPageBreak/>
        <w:t xml:space="preserve">If </w:t>
      </w:r>
      <w:r w:rsidR="004A78C0">
        <w:t xml:space="preserve">this </w:t>
      </w:r>
      <w:r w:rsidR="004D143E">
        <w:t>is your first time to take a Canvas</w:t>
      </w:r>
      <w:r w:rsidR="004A78C0">
        <w:t>-based online course</w:t>
      </w:r>
      <w:r>
        <w:t>, you will find it dramatically different from your previous experiences</w:t>
      </w:r>
      <w:r w:rsidR="004D143E">
        <w:t>, and me too</w:t>
      </w:r>
      <w:r>
        <w:t xml:space="preserve">. There is no face-to-face contact with your instructor and fellow participants. You may feel confused and anxious because you can’t ask questions and receive immediate feedback. </w:t>
      </w:r>
    </w:p>
    <w:p w14:paraId="6EC97C78" w14:textId="77777777" w:rsidR="00EC7DB1" w:rsidRDefault="00EC7DB1" w:rsidP="00A62E1C"/>
    <w:p w14:paraId="42B8F25E" w14:textId="77777777" w:rsidR="00A62E1C" w:rsidRDefault="00A62E1C" w:rsidP="00A62E1C">
      <w:r>
        <w:t xml:space="preserve">Relax! You are not alone, and any anxiety you feel will go away as you become familiar with this environment. </w:t>
      </w:r>
      <w:r w:rsidR="00B8356A">
        <w:t xml:space="preserve">Normally students will get used to the online learning environment in one or two weeks. </w:t>
      </w:r>
      <w:r>
        <w:t xml:space="preserve">You may even begin to prefer this environment </w:t>
      </w:r>
      <w:r w:rsidR="00B8356A">
        <w:t>with the high</w:t>
      </w:r>
      <w:r>
        <w:t xml:space="preserve"> flexibility </w:t>
      </w:r>
      <w:r w:rsidR="00B8356A">
        <w:t>y</w:t>
      </w:r>
      <w:r>
        <w:t xml:space="preserve">ou </w:t>
      </w:r>
      <w:r w:rsidR="00B8356A">
        <w:t xml:space="preserve">have </w:t>
      </w:r>
      <w:r>
        <w:t xml:space="preserve">in managing your time and the learning materials. </w:t>
      </w:r>
    </w:p>
    <w:p w14:paraId="4C36D3D8" w14:textId="77777777" w:rsidR="00EC7DB1" w:rsidRDefault="00EC7DB1" w:rsidP="00A62E1C"/>
    <w:p w14:paraId="6E69DB2F" w14:textId="0BB7F966" w:rsidR="00A62E1C" w:rsidRDefault="00A62E1C" w:rsidP="00A62E1C">
      <w:r>
        <w:t>I want to stress to both the experienced and inexperienced online course participants that the key to successful completion of this online course, or any online course, is organization. This syllabus outlines in detail my expectations of you as participant,</w:t>
      </w:r>
      <w:r w:rsidR="00324D9F">
        <w:t xml:space="preserve"> including required textbooks, </w:t>
      </w:r>
      <w:r>
        <w:t xml:space="preserve">grading policies, assignments, and projects, and a schedule of readings and assignment/project due dates. This is not a self-paced course. Deadlines exist because the course is offered to help you complete the course successfully in a timely manner. </w:t>
      </w:r>
      <w:r w:rsidR="00F82582">
        <w:t xml:space="preserve">For your convenience, a table of all assignment deadlines will be found under Modules as well. </w:t>
      </w:r>
    </w:p>
    <w:p w14:paraId="6E0A927B" w14:textId="77777777" w:rsidR="007A4F50" w:rsidRDefault="007A4F50" w:rsidP="00A62E1C"/>
    <w:p w14:paraId="26A274FE" w14:textId="77777777" w:rsidR="00A62E1C" w:rsidRPr="002D22E7" w:rsidRDefault="00B8356A" w:rsidP="007D1934">
      <w:pPr>
        <w:rPr>
          <w:b/>
        </w:rPr>
      </w:pPr>
      <w:r>
        <w:t xml:space="preserve"> </w:t>
      </w:r>
      <w:r w:rsidR="00A62E1C" w:rsidRPr="002D22E7">
        <w:rPr>
          <w:b/>
        </w:rPr>
        <w:t>Course Description and Prerequisites</w:t>
      </w:r>
    </w:p>
    <w:p w14:paraId="416EF4F0" w14:textId="77777777" w:rsidR="00A62E1C" w:rsidRDefault="00A62E1C" w:rsidP="00A62E1C"/>
    <w:p w14:paraId="58B76BA9" w14:textId="77777777" w:rsidR="00A62E1C" w:rsidRPr="007D1934" w:rsidRDefault="00A62E1C" w:rsidP="007D1934">
      <w:pPr>
        <w:jc w:val="center"/>
        <w:rPr>
          <w:b/>
        </w:rPr>
      </w:pPr>
      <w:r w:rsidRPr="007D1934">
        <w:rPr>
          <w:b/>
        </w:rPr>
        <w:t>Description</w:t>
      </w:r>
    </w:p>
    <w:p w14:paraId="0FAA0F62" w14:textId="77777777" w:rsidR="00A62E1C" w:rsidRDefault="00A62E1C" w:rsidP="00A62E1C"/>
    <w:p w14:paraId="0A1CE60A" w14:textId="46FDE204" w:rsidR="00F25923" w:rsidRPr="00572973" w:rsidRDefault="00F25923" w:rsidP="00F25923">
      <w:r>
        <w:t>HRD5347</w:t>
      </w:r>
      <w:r w:rsidR="00A62E1C">
        <w:t xml:space="preserve"> – </w:t>
      </w:r>
      <w:r w:rsidR="005C222B">
        <w:t>Practice-oriented</w:t>
      </w:r>
      <w:r>
        <w:t xml:space="preserve"> models, approaches, and techniques</w:t>
      </w:r>
      <w:r w:rsidRPr="00572973">
        <w:t xml:space="preserve"> of </w:t>
      </w:r>
      <w:r>
        <w:t>performance consulting in organizational settings.</w:t>
      </w:r>
      <w:r w:rsidRPr="00572973">
        <w:t xml:space="preserve"> </w:t>
      </w:r>
      <w:r>
        <w:t xml:space="preserve">Students will learn critical skills in identifying gaps for performance improvement and proposing HRD interventions. </w:t>
      </w:r>
      <w:r w:rsidR="005C222B">
        <w:t>The general</w:t>
      </w:r>
      <w:r>
        <w:t xml:space="preserve"> performance consulting process, from consulting proposal to final consulting report, will be covered.</w:t>
      </w:r>
    </w:p>
    <w:p w14:paraId="11B1D365" w14:textId="77777777" w:rsidR="00A62E1C" w:rsidRDefault="00A62E1C" w:rsidP="00A62E1C"/>
    <w:p w14:paraId="6E078149" w14:textId="77777777" w:rsidR="00A62E1C" w:rsidRDefault="00A62E1C" w:rsidP="00A62E1C"/>
    <w:p w14:paraId="30F7C52E" w14:textId="77777777" w:rsidR="00A62E1C" w:rsidRPr="00126DB7" w:rsidRDefault="00A62E1C" w:rsidP="00126DB7">
      <w:pPr>
        <w:jc w:val="center"/>
        <w:rPr>
          <w:b/>
        </w:rPr>
      </w:pPr>
      <w:r w:rsidRPr="00126DB7">
        <w:rPr>
          <w:b/>
        </w:rPr>
        <w:t>Course Prerequisites</w:t>
      </w:r>
    </w:p>
    <w:p w14:paraId="2C5452B3" w14:textId="77777777" w:rsidR="00A62E1C" w:rsidRDefault="00A62E1C" w:rsidP="00A62E1C"/>
    <w:p w14:paraId="39F56077" w14:textId="77777777" w:rsidR="00A62E1C" w:rsidRDefault="00A62E1C" w:rsidP="00A62E1C">
      <w:r>
        <w:t xml:space="preserve">To take this course, you need to be in graduate standing. If you are taking this course as part of </w:t>
      </w:r>
      <w:r w:rsidR="00F31CEE">
        <w:t>t</w:t>
      </w:r>
      <w:r>
        <w:t xml:space="preserve">he Master's of Science in Human Resource Development and have not completed a degree plan, please contact </w:t>
      </w:r>
      <w:r w:rsidR="00F31CEE">
        <w:t>your</w:t>
      </w:r>
      <w:r>
        <w:t xml:space="preserve"> program advisor for additional requirements and procedures. </w:t>
      </w:r>
    </w:p>
    <w:p w14:paraId="15827AFE" w14:textId="77777777" w:rsidR="00A62E1C" w:rsidRDefault="00A62E1C" w:rsidP="00A62E1C"/>
    <w:p w14:paraId="49B519DF" w14:textId="77777777" w:rsidR="00A62E1C" w:rsidRPr="00126DB7" w:rsidRDefault="00A62E1C" w:rsidP="00126DB7">
      <w:pPr>
        <w:jc w:val="center"/>
        <w:rPr>
          <w:b/>
        </w:rPr>
      </w:pPr>
      <w:r w:rsidRPr="00126DB7">
        <w:rPr>
          <w:b/>
        </w:rPr>
        <w:t>Student Learning Outcomes</w:t>
      </w:r>
    </w:p>
    <w:p w14:paraId="43AE514F" w14:textId="77777777" w:rsidR="00A62E1C" w:rsidRDefault="00A62E1C" w:rsidP="00A62E1C"/>
    <w:p w14:paraId="1172209D" w14:textId="77777777" w:rsidR="008E6737" w:rsidRPr="00572973" w:rsidRDefault="008E6737" w:rsidP="008E6737">
      <w:r w:rsidRPr="00572973">
        <w:t xml:space="preserve">The course is designed </w:t>
      </w:r>
      <w:r>
        <w:t xml:space="preserve">for students’ </w:t>
      </w:r>
      <w:r w:rsidR="007C54FF">
        <w:t xml:space="preserve">current and </w:t>
      </w:r>
      <w:r>
        <w:t>future consulting engagement</w:t>
      </w:r>
      <w:r w:rsidR="007C54FF">
        <w:t>s</w:t>
      </w:r>
      <w:r>
        <w:t xml:space="preserve"> in</w:t>
      </w:r>
      <w:r w:rsidRPr="00572973">
        <w:t xml:space="preserve"> human resource </w:t>
      </w:r>
      <w:r>
        <w:t xml:space="preserve">development in business and organizational settings. </w:t>
      </w:r>
      <w:r w:rsidRPr="00572973">
        <w:t xml:space="preserve">Emphasis will also be placed on the practical application of </w:t>
      </w:r>
      <w:r>
        <w:t>consulting skills, approaches and techniques</w:t>
      </w:r>
      <w:r w:rsidRPr="00572973">
        <w:t>.</w:t>
      </w:r>
    </w:p>
    <w:p w14:paraId="6259E380" w14:textId="77777777" w:rsidR="008E6737" w:rsidRPr="00572973" w:rsidRDefault="008E6737" w:rsidP="008E6737"/>
    <w:p w14:paraId="2D7995BE" w14:textId="77777777" w:rsidR="008E6737" w:rsidRPr="00572973" w:rsidRDefault="008E6737" w:rsidP="008E6737">
      <w:r w:rsidRPr="00572973">
        <w:t>Upon completion of this course, students should be able to:</w:t>
      </w:r>
    </w:p>
    <w:p w14:paraId="2C72779C" w14:textId="77777777" w:rsidR="008E6737" w:rsidRPr="00572973" w:rsidRDefault="008E6737" w:rsidP="008E6737"/>
    <w:p w14:paraId="5902708D" w14:textId="4573B586" w:rsidR="008E6737" w:rsidRPr="00572973" w:rsidRDefault="0033389D" w:rsidP="008E6737">
      <w:pPr>
        <w:numPr>
          <w:ilvl w:val="0"/>
          <w:numId w:val="11"/>
        </w:numPr>
      </w:pPr>
      <w:r w:rsidRPr="0033389D">
        <w:t>Examine the role of performance consulting in organizations</w:t>
      </w:r>
    </w:p>
    <w:p w14:paraId="40C1FC4E" w14:textId="3D68EC7B" w:rsidR="008E6737" w:rsidRDefault="0033389D" w:rsidP="008E6737">
      <w:pPr>
        <w:numPr>
          <w:ilvl w:val="0"/>
          <w:numId w:val="11"/>
        </w:numPr>
      </w:pPr>
      <w:r w:rsidRPr="0033389D">
        <w:t>Apply different performance consulting models through real life projects</w:t>
      </w:r>
    </w:p>
    <w:p w14:paraId="29CEF9CA" w14:textId="0307BE95" w:rsidR="008E6737" w:rsidRDefault="0033389D" w:rsidP="008E6737">
      <w:pPr>
        <w:numPr>
          <w:ilvl w:val="0"/>
          <w:numId w:val="11"/>
        </w:numPr>
      </w:pPr>
      <w:r w:rsidRPr="0033389D">
        <w:t>Explain consulting skills that can be used in a real consulting project</w:t>
      </w:r>
    </w:p>
    <w:p w14:paraId="52180090" w14:textId="1A50EE0A" w:rsidR="0033389D" w:rsidRDefault="0033389D" w:rsidP="008E6737">
      <w:pPr>
        <w:numPr>
          <w:ilvl w:val="0"/>
          <w:numId w:val="11"/>
        </w:numPr>
      </w:pPr>
      <w:r w:rsidRPr="0033389D">
        <w:t>Analyze performance gaps and propose solutions to fill the performance gaps</w:t>
      </w:r>
    </w:p>
    <w:p w14:paraId="066584D7" w14:textId="5C2AB712" w:rsidR="0033389D" w:rsidRDefault="0033389D" w:rsidP="008E6737">
      <w:pPr>
        <w:numPr>
          <w:ilvl w:val="0"/>
          <w:numId w:val="11"/>
        </w:numPr>
      </w:pPr>
      <w:r w:rsidRPr="0033389D">
        <w:lastRenderedPageBreak/>
        <w:t>Collect quantitative and qualitative data in evidence-based consulting</w:t>
      </w:r>
    </w:p>
    <w:p w14:paraId="2F27FAA9" w14:textId="10FFF6E3" w:rsidR="0033389D" w:rsidRPr="00572973" w:rsidRDefault="0033389D" w:rsidP="008E6737">
      <w:pPr>
        <w:numPr>
          <w:ilvl w:val="0"/>
          <w:numId w:val="11"/>
        </w:numPr>
      </w:pPr>
      <w:r w:rsidRPr="0033389D">
        <w:t>Develop a consulting proposal</w:t>
      </w:r>
    </w:p>
    <w:p w14:paraId="04518B3C" w14:textId="77777777" w:rsidR="008E6737" w:rsidRPr="00572973" w:rsidRDefault="008E6737" w:rsidP="008E6737"/>
    <w:p w14:paraId="47572FE6" w14:textId="77777777" w:rsidR="008E6737" w:rsidRPr="00572973" w:rsidRDefault="008E6737" w:rsidP="008E6737">
      <w:pPr>
        <w:pStyle w:val="Heading3"/>
        <w:numPr>
          <w:ilvl w:val="0"/>
          <w:numId w:val="0"/>
        </w:numPr>
        <w:ind w:left="360"/>
        <w:jc w:val="center"/>
        <w:rPr>
          <w:rFonts w:ascii="Times New Roman" w:hAnsi="Times New Roman"/>
          <w:sz w:val="24"/>
          <w:szCs w:val="24"/>
        </w:rPr>
      </w:pPr>
      <w:r w:rsidRPr="00572973">
        <w:rPr>
          <w:rFonts w:ascii="Times New Roman" w:hAnsi="Times New Roman"/>
          <w:sz w:val="24"/>
          <w:szCs w:val="24"/>
        </w:rPr>
        <w:t>Textbook</w:t>
      </w:r>
    </w:p>
    <w:p w14:paraId="76D55FBF" w14:textId="77777777" w:rsidR="008E6737" w:rsidRDefault="008E6737" w:rsidP="008E6737"/>
    <w:p w14:paraId="72C71061" w14:textId="77777777" w:rsidR="005B2B1E" w:rsidRDefault="005B2B1E" w:rsidP="008E6737">
      <w:r>
        <w:t>Required Text</w:t>
      </w:r>
      <w:r w:rsidR="00675E23">
        <w:t>books:</w:t>
      </w:r>
    </w:p>
    <w:p w14:paraId="6722A7E7" w14:textId="37904599" w:rsidR="001B64ED" w:rsidRDefault="001B64ED" w:rsidP="001B64ED">
      <w:pPr>
        <w:pStyle w:val="ListParagraph"/>
        <w:numPr>
          <w:ilvl w:val="0"/>
          <w:numId w:val="25"/>
        </w:numPr>
      </w:pPr>
      <w:r w:rsidRPr="001B64ED">
        <w:rPr>
          <w:color w:val="000000"/>
          <w:shd w:val="clear" w:color="auto" w:fill="FFFFFF"/>
        </w:rPr>
        <w:t xml:space="preserve">Robinson, D. G., Robinson, J. C., Phillips, J. J., Phillips, P. P., &amp; </w:t>
      </w:r>
      <w:proofErr w:type="spellStart"/>
      <w:r w:rsidRPr="001B64ED">
        <w:rPr>
          <w:color w:val="000000"/>
          <w:shd w:val="clear" w:color="auto" w:fill="FFFFFF"/>
        </w:rPr>
        <w:t>Handshaw</w:t>
      </w:r>
      <w:proofErr w:type="spellEnd"/>
      <w:r w:rsidRPr="001B64ED">
        <w:rPr>
          <w:color w:val="000000"/>
          <w:shd w:val="clear" w:color="auto" w:fill="FFFFFF"/>
        </w:rPr>
        <w:t>, D. (2015). Performance consulting: A strategic process to improve, measure, and sustain organizational results. Berrett-Koehler Publishers.</w:t>
      </w:r>
    </w:p>
    <w:p w14:paraId="00FAACBD" w14:textId="4A2417A4" w:rsidR="00675E23" w:rsidRDefault="005B2B1E" w:rsidP="001B64ED">
      <w:pPr>
        <w:pStyle w:val="ListParagraph"/>
        <w:numPr>
          <w:ilvl w:val="0"/>
          <w:numId w:val="25"/>
        </w:numPr>
      </w:pPr>
      <w:r>
        <w:t>Swanson, R. A. (2007). Analysis for Improving Performance: Tools for diagnosing organizations and documenting workplace expertise (2</w:t>
      </w:r>
      <w:r w:rsidRPr="00B37329">
        <w:t>nd</w:t>
      </w:r>
      <w:r>
        <w:t xml:space="preserve"> ed.). San Francisco, CA: Berrett-Koehler.</w:t>
      </w:r>
      <w:r w:rsidR="008D3C04">
        <w:t xml:space="preserve"> (This book may not be available in the bookstore. You may either order it on amazon.com, or to save money, you can view most content on books.google.com and amazon.com)</w:t>
      </w:r>
    </w:p>
    <w:p w14:paraId="2BC18AD4" w14:textId="77777777" w:rsidR="005B2B1E" w:rsidRPr="00572973" w:rsidRDefault="005B2B1E" w:rsidP="005B2B1E"/>
    <w:p w14:paraId="3AF7BB63" w14:textId="29AD0E52" w:rsidR="008E6737" w:rsidRPr="00572973" w:rsidRDefault="008E6737" w:rsidP="008E6737">
      <w:pPr>
        <w:pStyle w:val="BodyText"/>
        <w:rPr>
          <w:rFonts w:ascii="Times New Roman" w:hAnsi="Times New Roman"/>
          <w:sz w:val="24"/>
          <w:szCs w:val="24"/>
        </w:rPr>
      </w:pPr>
      <w:r w:rsidRPr="00572973">
        <w:rPr>
          <w:rFonts w:ascii="Times New Roman" w:hAnsi="Times New Roman"/>
          <w:sz w:val="24"/>
          <w:szCs w:val="24"/>
        </w:rPr>
        <w:t xml:space="preserve">Additional readings </w:t>
      </w:r>
      <w:r>
        <w:rPr>
          <w:rFonts w:ascii="Times New Roman" w:hAnsi="Times New Roman"/>
          <w:sz w:val="24"/>
          <w:szCs w:val="24"/>
        </w:rPr>
        <w:t xml:space="preserve">and cases </w:t>
      </w:r>
      <w:r w:rsidRPr="00572973">
        <w:rPr>
          <w:rFonts w:ascii="Times New Roman" w:hAnsi="Times New Roman"/>
          <w:sz w:val="24"/>
          <w:szCs w:val="24"/>
        </w:rPr>
        <w:t xml:space="preserve">will be </w:t>
      </w:r>
      <w:r>
        <w:rPr>
          <w:rFonts w:ascii="Times New Roman" w:hAnsi="Times New Roman"/>
          <w:sz w:val="24"/>
          <w:szCs w:val="24"/>
        </w:rPr>
        <w:t>posted</w:t>
      </w:r>
      <w:r w:rsidRPr="00572973">
        <w:rPr>
          <w:rFonts w:ascii="Times New Roman" w:hAnsi="Times New Roman"/>
          <w:sz w:val="24"/>
          <w:szCs w:val="24"/>
        </w:rPr>
        <w:t xml:space="preserve"> on </w:t>
      </w:r>
      <w:r w:rsidR="008B7385">
        <w:rPr>
          <w:rFonts w:ascii="Times New Roman" w:hAnsi="Times New Roman"/>
          <w:sz w:val="24"/>
          <w:szCs w:val="24"/>
        </w:rPr>
        <w:t>Canvas in Modules.</w:t>
      </w:r>
    </w:p>
    <w:p w14:paraId="4CDC982C" w14:textId="77777777" w:rsidR="00A62E1C" w:rsidRDefault="00A62E1C" w:rsidP="00A62E1C"/>
    <w:p w14:paraId="45C6B1FE" w14:textId="77777777" w:rsidR="00A62E1C" w:rsidRPr="00126DB7" w:rsidRDefault="00A62E1C" w:rsidP="00126DB7">
      <w:pPr>
        <w:jc w:val="center"/>
        <w:rPr>
          <w:b/>
        </w:rPr>
      </w:pPr>
      <w:r w:rsidRPr="00126DB7">
        <w:rPr>
          <w:b/>
        </w:rPr>
        <w:t>Course Competencies</w:t>
      </w:r>
    </w:p>
    <w:p w14:paraId="72A7273A" w14:textId="77777777" w:rsidR="00A62E1C" w:rsidRDefault="00A62E1C" w:rsidP="00A62E1C"/>
    <w:p w14:paraId="1198C0A1" w14:textId="77777777" w:rsidR="00126DB7" w:rsidRDefault="00A62E1C" w:rsidP="00126DB7">
      <w:pPr>
        <w:numPr>
          <w:ilvl w:val="0"/>
          <w:numId w:val="3"/>
        </w:numPr>
      </w:pPr>
      <w:r>
        <w:t>Computer-Based Skills: Participants will use a variety of sk</w:t>
      </w:r>
      <w:r w:rsidR="00126DB7">
        <w:t>ills in the online environment.</w:t>
      </w:r>
    </w:p>
    <w:p w14:paraId="2C228AF9" w14:textId="77777777" w:rsidR="00487CB6" w:rsidRDefault="00A62E1C" w:rsidP="00A62E1C">
      <w:pPr>
        <w:numPr>
          <w:ilvl w:val="0"/>
          <w:numId w:val="3"/>
        </w:numPr>
      </w:pPr>
      <w:r>
        <w:t xml:space="preserve">Communication skills: Participants will use a variety of communication skills in communicating their opinions, findings, expertise, and knowledge about various course topics to other participants and the instructor. </w:t>
      </w:r>
    </w:p>
    <w:p w14:paraId="443A4BEC" w14:textId="77777777" w:rsidR="00487CB6" w:rsidRDefault="00A62E1C" w:rsidP="00A62E1C">
      <w:pPr>
        <w:numPr>
          <w:ilvl w:val="0"/>
          <w:numId w:val="3"/>
        </w:numPr>
      </w:pPr>
      <w:r>
        <w:t xml:space="preserve">Interpersonal skills: Participants will interact as they discuss their individual research projects. </w:t>
      </w:r>
    </w:p>
    <w:p w14:paraId="0B7F71EE" w14:textId="77777777" w:rsidR="00487CB6" w:rsidRDefault="00A62E1C" w:rsidP="00A62E1C">
      <w:pPr>
        <w:numPr>
          <w:ilvl w:val="0"/>
          <w:numId w:val="3"/>
        </w:numPr>
      </w:pPr>
      <w:r>
        <w:t xml:space="preserve">Problem Solving (Critical Thinking): Participants will use conceptual thinking, creativity, and innovation in developing and presenting their responses to module assignments. </w:t>
      </w:r>
    </w:p>
    <w:p w14:paraId="33427F18" w14:textId="77777777" w:rsidR="00487CB6" w:rsidRDefault="00A62E1C" w:rsidP="00A62E1C">
      <w:pPr>
        <w:numPr>
          <w:ilvl w:val="0"/>
          <w:numId w:val="3"/>
        </w:numPr>
      </w:pPr>
      <w:r>
        <w:t xml:space="preserve">Ethical Issues in Decision Making and Behavior: Participants will demonstrate ethical behavior in obtaining information and in documenting referenced material used in assignments. </w:t>
      </w:r>
    </w:p>
    <w:p w14:paraId="19128813" w14:textId="77777777" w:rsidR="00487CB6" w:rsidRDefault="00A62E1C" w:rsidP="00A62E1C">
      <w:pPr>
        <w:numPr>
          <w:ilvl w:val="0"/>
          <w:numId w:val="3"/>
        </w:numPr>
      </w:pPr>
      <w:r>
        <w:t xml:space="preserve">Personal Accountability for Achievement: Participants will complete assignments according to the designated schedule and will participate in discussions in a timely manner. </w:t>
      </w:r>
    </w:p>
    <w:p w14:paraId="76FAF7E6" w14:textId="77777777" w:rsidR="00A62E1C" w:rsidRDefault="00A62E1C" w:rsidP="00A62E1C">
      <w:pPr>
        <w:numPr>
          <w:ilvl w:val="0"/>
          <w:numId w:val="3"/>
        </w:numPr>
      </w:pPr>
      <w:r>
        <w:t xml:space="preserve">Competence in Technology Principles: Participants will apply course concepts to their own area(s) of </w:t>
      </w:r>
      <w:r w:rsidR="00F20EC1">
        <w:t>subject matter</w:t>
      </w:r>
      <w:r>
        <w:t xml:space="preserve"> expertise. </w:t>
      </w:r>
    </w:p>
    <w:p w14:paraId="150518D6" w14:textId="77777777" w:rsidR="00A62E1C" w:rsidRDefault="00A62E1C" w:rsidP="00A62E1C"/>
    <w:p w14:paraId="7F967AF7" w14:textId="77777777" w:rsidR="00B8356A" w:rsidRDefault="00B8356A" w:rsidP="00F20EC1">
      <w:pPr>
        <w:jc w:val="center"/>
        <w:rPr>
          <w:b/>
        </w:rPr>
      </w:pPr>
    </w:p>
    <w:p w14:paraId="4AF862E5" w14:textId="77777777" w:rsidR="00A62E1C" w:rsidRPr="00F20EC1" w:rsidRDefault="00A62E1C" w:rsidP="00F20EC1">
      <w:pPr>
        <w:jc w:val="center"/>
        <w:rPr>
          <w:b/>
        </w:rPr>
      </w:pPr>
      <w:r w:rsidRPr="00F20EC1">
        <w:rPr>
          <w:b/>
        </w:rPr>
        <w:t>Course Requirements</w:t>
      </w:r>
    </w:p>
    <w:p w14:paraId="35F6CD20" w14:textId="77777777" w:rsidR="00361A96" w:rsidRDefault="00361A96" w:rsidP="00361A96">
      <w:pPr>
        <w:pStyle w:val="Heading3"/>
        <w:numPr>
          <w:ilvl w:val="0"/>
          <w:numId w:val="0"/>
        </w:numPr>
        <w:rPr>
          <w:rFonts w:ascii="Times New Roman" w:hAnsi="Times New Roman"/>
          <w:sz w:val="24"/>
          <w:szCs w:val="24"/>
        </w:rPr>
      </w:pPr>
    </w:p>
    <w:p w14:paraId="5828079C" w14:textId="77777777" w:rsidR="00361A96" w:rsidRPr="00572973" w:rsidRDefault="00361A96" w:rsidP="00361A96">
      <w:pPr>
        <w:pStyle w:val="Heading3"/>
        <w:numPr>
          <w:ilvl w:val="0"/>
          <w:numId w:val="0"/>
        </w:numPr>
        <w:rPr>
          <w:rFonts w:ascii="Times New Roman" w:hAnsi="Times New Roman"/>
          <w:sz w:val="24"/>
          <w:szCs w:val="24"/>
        </w:rPr>
      </w:pPr>
      <w:r w:rsidRPr="00572973">
        <w:rPr>
          <w:rFonts w:ascii="Times New Roman" w:hAnsi="Times New Roman"/>
          <w:sz w:val="24"/>
          <w:szCs w:val="24"/>
        </w:rPr>
        <w:t>Course Requirements and Students Evaluation</w:t>
      </w:r>
    </w:p>
    <w:p w14:paraId="12B8D45A" w14:textId="53C695EB" w:rsidR="00361A96" w:rsidRPr="00572973" w:rsidRDefault="00361A96" w:rsidP="00361A96">
      <w:pPr>
        <w:pStyle w:val="Heading3"/>
        <w:numPr>
          <w:ilvl w:val="0"/>
          <w:numId w:val="0"/>
        </w:numPr>
        <w:ind w:firstLine="720"/>
        <w:rPr>
          <w:rFonts w:ascii="Times New Roman" w:hAnsi="Times New Roman"/>
          <w:b w:val="0"/>
          <w:sz w:val="24"/>
          <w:szCs w:val="24"/>
        </w:rPr>
      </w:pPr>
      <w:r w:rsidRPr="00572973">
        <w:rPr>
          <w:rFonts w:ascii="Times New Roman" w:hAnsi="Times New Roman"/>
          <w:b w:val="0"/>
          <w:sz w:val="24"/>
          <w:szCs w:val="24"/>
        </w:rPr>
        <w:t xml:space="preserve">Students are expected to take responsibility for their own learning, active </w:t>
      </w:r>
      <w:r>
        <w:rPr>
          <w:rFonts w:ascii="Times New Roman" w:hAnsi="Times New Roman"/>
          <w:b w:val="0"/>
          <w:sz w:val="24"/>
          <w:szCs w:val="24"/>
        </w:rPr>
        <w:t xml:space="preserve">online </w:t>
      </w:r>
      <w:r w:rsidRPr="00572973">
        <w:rPr>
          <w:rFonts w:ascii="Times New Roman" w:hAnsi="Times New Roman"/>
          <w:b w:val="0"/>
          <w:sz w:val="24"/>
          <w:szCs w:val="24"/>
        </w:rPr>
        <w:t xml:space="preserve">participation, </w:t>
      </w:r>
      <w:r w:rsidR="00394B8A">
        <w:rPr>
          <w:rFonts w:ascii="Times New Roman" w:hAnsi="Times New Roman"/>
          <w:b w:val="0"/>
          <w:sz w:val="24"/>
          <w:szCs w:val="24"/>
        </w:rPr>
        <w:t>ask</w:t>
      </w:r>
      <w:r w:rsidRPr="00572973">
        <w:rPr>
          <w:rFonts w:ascii="Times New Roman" w:hAnsi="Times New Roman"/>
          <w:b w:val="0"/>
          <w:sz w:val="24"/>
          <w:szCs w:val="24"/>
        </w:rPr>
        <w:t xml:space="preserve"> questions</w:t>
      </w:r>
      <w:r w:rsidR="00394B8A">
        <w:rPr>
          <w:rFonts w:ascii="Times New Roman" w:hAnsi="Times New Roman"/>
          <w:b w:val="0"/>
          <w:sz w:val="24"/>
          <w:szCs w:val="24"/>
        </w:rPr>
        <w:t>,</w:t>
      </w:r>
      <w:r w:rsidRPr="00572973">
        <w:rPr>
          <w:rFonts w:ascii="Times New Roman" w:hAnsi="Times New Roman"/>
          <w:b w:val="0"/>
          <w:sz w:val="24"/>
          <w:szCs w:val="24"/>
        </w:rPr>
        <w:t xml:space="preserve"> and presenting information related to </w:t>
      </w:r>
      <w:r>
        <w:rPr>
          <w:rFonts w:ascii="Times New Roman" w:hAnsi="Times New Roman"/>
          <w:b w:val="0"/>
          <w:sz w:val="24"/>
          <w:szCs w:val="24"/>
        </w:rPr>
        <w:t>performance consulting</w:t>
      </w:r>
      <w:r w:rsidRPr="00572973">
        <w:rPr>
          <w:rFonts w:ascii="Times New Roman" w:hAnsi="Times New Roman"/>
          <w:b w:val="0"/>
          <w:sz w:val="24"/>
          <w:szCs w:val="24"/>
        </w:rPr>
        <w:t>.  The following specific learning activities are designed as part of the curriculum.  Students will be evaluated on the basis of the quantity, quality, and timeliness of their efforts.  More specifically:</w:t>
      </w:r>
    </w:p>
    <w:p w14:paraId="57B72AA7" w14:textId="77777777" w:rsidR="00361A96" w:rsidRPr="00572973" w:rsidRDefault="00361A96" w:rsidP="00361A96"/>
    <w:tbl>
      <w:tblPr>
        <w:tblW w:w="0" w:type="auto"/>
        <w:tblInd w:w="1638" w:type="dxa"/>
        <w:tblLook w:val="0000" w:firstRow="0" w:lastRow="0" w:firstColumn="0" w:lastColumn="0" w:noHBand="0" w:noVBand="0"/>
      </w:tblPr>
      <w:tblGrid>
        <w:gridCol w:w="3960"/>
        <w:gridCol w:w="1530"/>
      </w:tblGrid>
      <w:tr w:rsidR="00361A96" w:rsidRPr="00572973" w14:paraId="5374609F" w14:textId="77777777" w:rsidTr="00E8037B">
        <w:tc>
          <w:tcPr>
            <w:tcW w:w="3960" w:type="dxa"/>
          </w:tcPr>
          <w:p w14:paraId="28EC3E15" w14:textId="77777777" w:rsidR="00361A96" w:rsidRPr="00572973" w:rsidRDefault="00361A96" w:rsidP="00E8037B">
            <w:pPr>
              <w:jc w:val="center"/>
              <w:rPr>
                <w:b/>
              </w:rPr>
            </w:pPr>
          </w:p>
          <w:p w14:paraId="325C2FB7" w14:textId="77777777" w:rsidR="008016BD" w:rsidRDefault="008016BD" w:rsidP="00E8037B">
            <w:pPr>
              <w:jc w:val="center"/>
              <w:rPr>
                <w:b/>
              </w:rPr>
            </w:pPr>
          </w:p>
          <w:p w14:paraId="1D520F0A" w14:textId="77777777" w:rsidR="008016BD" w:rsidRDefault="008016BD" w:rsidP="00E8037B">
            <w:pPr>
              <w:jc w:val="center"/>
              <w:rPr>
                <w:b/>
              </w:rPr>
            </w:pPr>
          </w:p>
          <w:p w14:paraId="0A16774F" w14:textId="159F5A26" w:rsidR="00361A96" w:rsidRPr="00572973" w:rsidRDefault="00361A96" w:rsidP="00E8037B">
            <w:pPr>
              <w:jc w:val="center"/>
              <w:rPr>
                <w:b/>
              </w:rPr>
            </w:pPr>
            <w:r w:rsidRPr="00572973">
              <w:rPr>
                <w:b/>
              </w:rPr>
              <w:t>Assignments</w:t>
            </w:r>
          </w:p>
        </w:tc>
        <w:tc>
          <w:tcPr>
            <w:tcW w:w="1530" w:type="dxa"/>
          </w:tcPr>
          <w:p w14:paraId="1AEBD6B6" w14:textId="77777777" w:rsidR="00361A96" w:rsidRPr="00572973" w:rsidRDefault="00361A96" w:rsidP="00E8037B">
            <w:pPr>
              <w:jc w:val="center"/>
              <w:rPr>
                <w:b/>
              </w:rPr>
            </w:pPr>
          </w:p>
          <w:p w14:paraId="5AEF7C6E" w14:textId="77777777" w:rsidR="008016BD" w:rsidRDefault="008016BD" w:rsidP="00E8037B">
            <w:pPr>
              <w:jc w:val="center"/>
              <w:rPr>
                <w:b/>
              </w:rPr>
            </w:pPr>
          </w:p>
          <w:p w14:paraId="0B9D9DC4" w14:textId="77777777" w:rsidR="008016BD" w:rsidRDefault="008016BD" w:rsidP="00E8037B">
            <w:pPr>
              <w:jc w:val="center"/>
              <w:rPr>
                <w:b/>
              </w:rPr>
            </w:pPr>
          </w:p>
          <w:p w14:paraId="6498C2C1" w14:textId="308579C7" w:rsidR="00361A96" w:rsidRPr="00572973" w:rsidRDefault="00361A96" w:rsidP="00E8037B">
            <w:pPr>
              <w:jc w:val="center"/>
              <w:rPr>
                <w:b/>
              </w:rPr>
            </w:pPr>
            <w:r w:rsidRPr="00572973">
              <w:rPr>
                <w:b/>
              </w:rPr>
              <w:t>Proportion</w:t>
            </w:r>
          </w:p>
        </w:tc>
      </w:tr>
      <w:tr w:rsidR="00361A96" w:rsidRPr="00572973" w14:paraId="38F44D1B" w14:textId="77777777" w:rsidTr="00E8037B">
        <w:tc>
          <w:tcPr>
            <w:tcW w:w="3960" w:type="dxa"/>
          </w:tcPr>
          <w:p w14:paraId="7A4A3FC7" w14:textId="13B3A05A" w:rsidR="00361A96" w:rsidRPr="00572973" w:rsidRDefault="004D143E" w:rsidP="00E8037B">
            <w:r>
              <w:t xml:space="preserve"> </w:t>
            </w:r>
          </w:p>
        </w:tc>
        <w:tc>
          <w:tcPr>
            <w:tcW w:w="1530" w:type="dxa"/>
          </w:tcPr>
          <w:p w14:paraId="0D7DB3C6" w14:textId="77777777" w:rsidR="00361A96" w:rsidRPr="00572973" w:rsidRDefault="00361A96" w:rsidP="00E8037B">
            <w:pPr>
              <w:jc w:val="center"/>
            </w:pPr>
          </w:p>
          <w:p w14:paraId="2A667DC9" w14:textId="4C8BF1E5" w:rsidR="00361A96" w:rsidRPr="00572973" w:rsidRDefault="004D143E" w:rsidP="00E8037B">
            <w:pPr>
              <w:jc w:val="center"/>
            </w:pPr>
            <w:r>
              <w:t xml:space="preserve"> </w:t>
            </w:r>
          </w:p>
        </w:tc>
      </w:tr>
      <w:tr w:rsidR="00361A96" w:rsidRPr="00572973" w14:paraId="185C9877" w14:textId="77777777" w:rsidTr="00E8037B">
        <w:tc>
          <w:tcPr>
            <w:tcW w:w="3960" w:type="dxa"/>
          </w:tcPr>
          <w:p w14:paraId="0F3ECA6C" w14:textId="77777777" w:rsidR="00361A96" w:rsidRPr="00572973" w:rsidRDefault="00361A96" w:rsidP="00E8037B"/>
          <w:p w14:paraId="76E83AE4" w14:textId="6D6ADFD6" w:rsidR="00361A96" w:rsidRPr="00572973" w:rsidRDefault="00361A96" w:rsidP="002F2980">
            <w:r>
              <w:t>Case Stud</w:t>
            </w:r>
            <w:r w:rsidR="00394B8A">
              <w:t>ies</w:t>
            </w:r>
          </w:p>
        </w:tc>
        <w:tc>
          <w:tcPr>
            <w:tcW w:w="1530" w:type="dxa"/>
          </w:tcPr>
          <w:p w14:paraId="46283CBB" w14:textId="77777777" w:rsidR="00361A96" w:rsidRPr="00572973" w:rsidRDefault="00361A96" w:rsidP="00E8037B">
            <w:pPr>
              <w:jc w:val="center"/>
            </w:pPr>
          </w:p>
          <w:p w14:paraId="10AEAE2C" w14:textId="7602F0CB" w:rsidR="00361A96" w:rsidRPr="00572973" w:rsidRDefault="00394B8A" w:rsidP="00E8037B">
            <w:pPr>
              <w:jc w:val="center"/>
            </w:pPr>
            <w:r>
              <w:t>30</w:t>
            </w:r>
            <w:r w:rsidR="00361A96" w:rsidRPr="00572973">
              <w:t>%</w:t>
            </w:r>
          </w:p>
        </w:tc>
      </w:tr>
      <w:tr w:rsidR="0017668A" w:rsidRPr="00572973" w14:paraId="20E8B387" w14:textId="77777777" w:rsidTr="00E8037B">
        <w:tc>
          <w:tcPr>
            <w:tcW w:w="3960" w:type="dxa"/>
          </w:tcPr>
          <w:p w14:paraId="60F18625" w14:textId="43EEFA0E" w:rsidR="0096679D" w:rsidRDefault="0096679D" w:rsidP="00E8037B"/>
          <w:p w14:paraId="790C3C1B" w14:textId="2CB42364" w:rsidR="0017668A" w:rsidRDefault="0017668A" w:rsidP="00E8037B">
            <w:r>
              <w:t>Online Discussions</w:t>
            </w:r>
          </w:p>
          <w:p w14:paraId="656AC713" w14:textId="77777777" w:rsidR="0017668A" w:rsidRDefault="0017668A" w:rsidP="00E8037B"/>
          <w:p w14:paraId="1D058957" w14:textId="419DE64A" w:rsidR="00336443" w:rsidRDefault="008016BD" w:rsidP="00361A96">
            <w:pPr>
              <w:rPr>
                <w:bCs/>
              </w:rPr>
            </w:pPr>
            <w:r>
              <w:rPr>
                <w:bCs/>
              </w:rPr>
              <w:t xml:space="preserve"> </w:t>
            </w:r>
          </w:p>
          <w:p w14:paraId="65854CF4" w14:textId="716078C1" w:rsidR="0017668A" w:rsidRPr="00572973" w:rsidRDefault="0017668A" w:rsidP="00361A96">
            <w:r>
              <w:t>Final Project</w:t>
            </w:r>
          </w:p>
        </w:tc>
        <w:tc>
          <w:tcPr>
            <w:tcW w:w="1530" w:type="dxa"/>
          </w:tcPr>
          <w:p w14:paraId="6E313799" w14:textId="508568E9" w:rsidR="0096679D" w:rsidRDefault="00394B8A" w:rsidP="00394B8A">
            <w:r>
              <w:t xml:space="preserve"> </w:t>
            </w:r>
          </w:p>
          <w:p w14:paraId="5CA60CF5" w14:textId="42D3ADDA" w:rsidR="0017668A" w:rsidRDefault="00394B8A" w:rsidP="00394B8A">
            <w:r>
              <w:t xml:space="preserve">       </w:t>
            </w:r>
            <w:r w:rsidR="008016BD">
              <w:t>40</w:t>
            </w:r>
            <w:r w:rsidR="0017668A" w:rsidRPr="00572973">
              <w:t>%</w:t>
            </w:r>
          </w:p>
          <w:p w14:paraId="5BBBB3E3" w14:textId="0FF83F37" w:rsidR="00336443" w:rsidRDefault="008016BD" w:rsidP="008016BD">
            <w:r>
              <w:t xml:space="preserve"> </w:t>
            </w:r>
          </w:p>
          <w:p w14:paraId="1768A9B3" w14:textId="77777777" w:rsidR="00336443" w:rsidRDefault="00336443" w:rsidP="00E8037B">
            <w:pPr>
              <w:jc w:val="center"/>
            </w:pPr>
          </w:p>
          <w:p w14:paraId="2892C051" w14:textId="169F65E8" w:rsidR="0017668A" w:rsidRPr="00572973" w:rsidRDefault="008016BD" w:rsidP="00E8037B">
            <w:pPr>
              <w:jc w:val="center"/>
            </w:pPr>
            <w:r>
              <w:t>30</w:t>
            </w:r>
            <w:r w:rsidR="0017668A">
              <w:t>%</w:t>
            </w:r>
          </w:p>
        </w:tc>
      </w:tr>
      <w:tr w:rsidR="0017668A" w:rsidRPr="00572973" w14:paraId="641B231E" w14:textId="77777777" w:rsidTr="00E8037B">
        <w:tc>
          <w:tcPr>
            <w:tcW w:w="3960" w:type="dxa"/>
          </w:tcPr>
          <w:p w14:paraId="222F9555" w14:textId="77777777" w:rsidR="0017668A" w:rsidRPr="00572973" w:rsidRDefault="0017668A" w:rsidP="00E8037B"/>
          <w:p w14:paraId="0A46957B" w14:textId="1680A73D" w:rsidR="0017668A" w:rsidRPr="00572973" w:rsidRDefault="0017668A" w:rsidP="00E8037B">
            <w:r w:rsidRPr="00572973">
              <w:t>Total</w:t>
            </w:r>
          </w:p>
        </w:tc>
        <w:tc>
          <w:tcPr>
            <w:tcW w:w="1530" w:type="dxa"/>
          </w:tcPr>
          <w:p w14:paraId="6E4CA465" w14:textId="77777777" w:rsidR="0017668A" w:rsidRPr="00572973" w:rsidRDefault="0017668A" w:rsidP="00E8037B">
            <w:pPr>
              <w:jc w:val="center"/>
            </w:pPr>
          </w:p>
          <w:p w14:paraId="6F4FD13E" w14:textId="0D4BA597" w:rsidR="0017668A" w:rsidRPr="00572973" w:rsidRDefault="0017668A" w:rsidP="00E8037B">
            <w:pPr>
              <w:jc w:val="center"/>
            </w:pPr>
            <w:r w:rsidRPr="00572973">
              <w:t>100%</w:t>
            </w:r>
          </w:p>
        </w:tc>
      </w:tr>
      <w:tr w:rsidR="0017668A" w:rsidRPr="00572973" w14:paraId="5E352C19" w14:textId="77777777" w:rsidTr="00E8037B">
        <w:tc>
          <w:tcPr>
            <w:tcW w:w="3960" w:type="dxa"/>
          </w:tcPr>
          <w:p w14:paraId="4779DFFB" w14:textId="5389C5D8" w:rsidR="0017668A" w:rsidRPr="00572973" w:rsidRDefault="0017668A" w:rsidP="00E8037B">
            <w:pPr>
              <w:jc w:val="center"/>
            </w:pPr>
          </w:p>
        </w:tc>
        <w:tc>
          <w:tcPr>
            <w:tcW w:w="1530" w:type="dxa"/>
          </w:tcPr>
          <w:p w14:paraId="73715776" w14:textId="0516B77C" w:rsidR="0017668A" w:rsidRPr="00572973" w:rsidRDefault="0017668A" w:rsidP="00E8037B">
            <w:pPr>
              <w:jc w:val="center"/>
            </w:pPr>
          </w:p>
        </w:tc>
      </w:tr>
    </w:tbl>
    <w:p w14:paraId="38E99A04" w14:textId="77777777" w:rsidR="00361A96" w:rsidRPr="00572973" w:rsidRDefault="00361A96" w:rsidP="00361A96"/>
    <w:p w14:paraId="74C66A9C" w14:textId="77777777" w:rsidR="00361A96" w:rsidRPr="00572973" w:rsidRDefault="00361A96" w:rsidP="00361A96">
      <w:pPr>
        <w:pStyle w:val="Heading6"/>
        <w:rPr>
          <w:rFonts w:ascii="Times New Roman" w:hAnsi="Times New Roman"/>
          <w:bCs w:val="0"/>
          <w:sz w:val="24"/>
          <w:szCs w:val="24"/>
        </w:rPr>
      </w:pPr>
      <w:r w:rsidRPr="00572973">
        <w:rPr>
          <w:rFonts w:ascii="Times New Roman" w:hAnsi="Times New Roman"/>
          <w:bCs w:val="0"/>
          <w:sz w:val="24"/>
          <w:szCs w:val="24"/>
        </w:rPr>
        <w:t>Grading Scale</w:t>
      </w:r>
    </w:p>
    <w:p w14:paraId="7AF4D6BC" w14:textId="77777777" w:rsidR="00361A96" w:rsidRPr="00572973" w:rsidRDefault="00361A96" w:rsidP="00361A96">
      <w:pPr>
        <w:jc w:val="center"/>
      </w:pPr>
    </w:p>
    <w:tbl>
      <w:tblPr>
        <w:tblW w:w="0" w:type="auto"/>
        <w:tblInd w:w="2718" w:type="dxa"/>
        <w:tblLook w:val="0000" w:firstRow="0" w:lastRow="0" w:firstColumn="0" w:lastColumn="0" w:noHBand="0" w:noVBand="0"/>
      </w:tblPr>
      <w:tblGrid>
        <w:gridCol w:w="2070"/>
        <w:gridCol w:w="2160"/>
      </w:tblGrid>
      <w:tr w:rsidR="00361A96" w:rsidRPr="00572973" w14:paraId="64D332E3" w14:textId="77777777" w:rsidTr="00E8037B">
        <w:tc>
          <w:tcPr>
            <w:tcW w:w="2070" w:type="dxa"/>
          </w:tcPr>
          <w:p w14:paraId="1DDED213" w14:textId="77777777" w:rsidR="00361A96" w:rsidRPr="00572973" w:rsidRDefault="00361A96" w:rsidP="00E8037B">
            <w:pPr>
              <w:jc w:val="center"/>
            </w:pPr>
            <w:r w:rsidRPr="00572973">
              <w:t>A</w:t>
            </w:r>
          </w:p>
        </w:tc>
        <w:tc>
          <w:tcPr>
            <w:tcW w:w="2160" w:type="dxa"/>
          </w:tcPr>
          <w:p w14:paraId="082DEC69" w14:textId="77777777" w:rsidR="00361A96" w:rsidRPr="00572973" w:rsidRDefault="00361A96" w:rsidP="00E8037B">
            <w:pPr>
              <w:jc w:val="center"/>
            </w:pPr>
            <w:r>
              <w:t>91</w:t>
            </w:r>
            <w:r w:rsidRPr="00572973">
              <w:t xml:space="preserve"> – 100</w:t>
            </w:r>
          </w:p>
        </w:tc>
      </w:tr>
      <w:tr w:rsidR="00361A96" w:rsidRPr="00572973" w14:paraId="3CB57521" w14:textId="77777777" w:rsidTr="00E8037B">
        <w:tc>
          <w:tcPr>
            <w:tcW w:w="2070" w:type="dxa"/>
          </w:tcPr>
          <w:p w14:paraId="155417E4" w14:textId="77777777" w:rsidR="00361A96" w:rsidRPr="00572973" w:rsidRDefault="00361A96" w:rsidP="00E8037B">
            <w:pPr>
              <w:jc w:val="center"/>
            </w:pPr>
          </w:p>
          <w:p w14:paraId="56254F1B" w14:textId="77777777" w:rsidR="00361A96" w:rsidRPr="00572973" w:rsidRDefault="00361A96" w:rsidP="00E8037B">
            <w:pPr>
              <w:jc w:val="center"/>
            </w:pPr>
            <w:r w:rsidRPr="00572973">
              <w:t>B</w:t>
            </w:r>
          </w:p>
        </w:tc>
        <w:tc>
          <w:tcPr>
            <w:tcW w:w="2160" w:type="dxa"/>
          </w:tcPr>
          <w:p w14:paraId="7058B15F" w14:textId="77777777" w:rsidR="00361A96" w:rsidRPr="00572973" w:rsidRDefault="00361A96" w:rsidP="00E8037B">
            <w:pPr>
              <w:jc w:val="center"/>
            </w:pPr>
          </w:p>
          <w:p w14:paraId="15997F4D" w14:textId="77777777" w:rsidR="00361A96" w:rsidRPr="00572973" w:rsidRDefault="00361A96" w:rsidP="00E8037B">
            <w:pPr>
              <w:jc w:val="center"/>
            </w:pPr>
            <w:r w:rsidRPr="00572973">
              <w:t>81 – 9</w:t>
            </w:r>
            <w:r>
              <w:t>0</w:t>
            </w:r>
          </w:p>
        </w:tc>
      </w:tr>
      <w:tr w:rsidR="00361A96" w:rsidRPr="00572973" w14:paraId="1384E127" w14:textId="77777777" w:rsidTr="00E8037B">
        <w:tc>
          <w:tcPr>
            <w:tcW w:w="2070" w:type="dxa"/>
          </w:tcPr>
          <w:p w14:paraId="185B49C2" w14:textId="77777777" w:rsidR="00361A96" w:rsidRPr="00572973" w:rsidRDefault="00361A96" w:rsidP="00E8037B">
            <w:pPr>
              <w:jc w:val="center"/>
            </w:pPr>
          </w:p>
          <w:p w14:paraId="012957FE" w14:textId="77777777" w:rsidR="00361A96" w:rsidRPr="00572973" w:rsidRDefault="00361A96" w:rsidP="00E8037B">
            <w:pPr>
              <w:jc w:val="center"/>
            </w:pPr>
            <w:r w:rsidRPr="00572973">
              <w:t>C</w:t>
            </w:r>
          </w:p>
        </w:tc>
        <w:tc>
          <w:tcPr>
            <w:tcW w:w="2160" w:type="dxa"/>
          </w:tcPr>
          <w:p w14:paraId="2A216DD0" w14:textId="77777777" w:rsidR="00361A96" w:rsidRPr="00572973" w:rsidRDefault="00361A96" w:rsidP="00E8037B">
            <w:pPr>
              <w:jc w:val="center"/>
            </w:pPr>
          </w:p>
          <w:p w14:paraId="5F7E836D" w14:textId="77777777" w:rsidR="00361A96" w:rsidRPr="00572973" w:rsidRDefault="00361A96" w:rsidP="00E8037B">
            <w:pPr>
              <w:jc w:val="center"/>
            </w:pPr>
            <w:r w:rsidRPr="00572973">
              <w:t>70 – 80</w:t>
            </w:r>
          </w:p>
        </w:tc>
      </w:tr>
      <w:tr w:rsidR="00361A96" w:rsidRPr="00572973" w14:paraId="7E82F4E9" w14:textId="77777777" w:rsidTr="00E8037B">
        <w:tc>
          <w:tcPr>
            <w:tcW w:w="2070" w:type="dxa"/>
          </w:tcPr>
          <w:p w14:paraId="6BBE4A37" w14:textId="77777777" w:rsidR="00361A96" w:rsidRPr="00572973" w:rsidRDefault="00361A96" w:rsidP="00E8037B">
            <w:pPr>
              <w:jc w:val="center"/>
            </w:pPr>
          </w:p>
          <w:p w14:paraId="7E3210E5" w14:textId="77777777" w:rsidR="00361A96" w:rsidRPr="00572973" w:rsidRDefault="00361A96" w:rsidP="00E8037B">
            <w:pPr>
              <w:jc w:val="center"/>
            </w:pPr>
            <w:r w:rsidRPr="00572973">
              <w:t>F</w:t>
            </w:r>
          </w:p>
        </w:tc>
        <w:tc>
          <w:tcPr>
            <w:tcW w:w="2160" w:type="dxa"/>
          </w:tcPr>
          <w:p w14:paraId="61BF1734" w14:textId="77777777" w:rsidR="00361A96" w:rsidRPr="00572973" w:rsidRDefault="00361A96" w:rsidP="00E8037B">
            <w:pPr>
              <w:jc w:val="center"/>
            </w:pPr>
          </w:p>
          <w:p w14:paraId="7AEA0306" w14:textId="77777777" w:rsidR="00361A96" w:rsidRPr="00572973" w:rsidRDefault="00361A96" w:rsidP="00E8037B">
            <w:pPr>
              <w:jc w:val="center"/>
            </w:pPr>
            <w:r w:rsidRPr="00572973">
              <w:t>69 or below</w:t>
            </w:r>
          </w:p>
        </w:tc>
      </w:tr>
    </w:tbl>
    <w:p w14:paraId="00FA990B" w14:textId="77777777" w:rsidR="00361A96" w:rsidRPr="00572973" w:rsidRDefault="00361A96" w:rsidP="00361A96">
      <w:pPr>
        <w:jc w:val="center"/>
      </w:pPr>
    </w:p>
    <w:p w14:paraId="28CDDAFE" w14:textId="77777777" w:rsidR="00361A96" w:rsidRPr="00572973" w:rsidRDefault="00361A96" w:rsidP="00361A96"/>
    <w:p w14:paraId="7C570B40" w14:textId="77777777" w:rsidR="0058265D" w:rsidRPr="00B01E0C" w:rsidRDefault="0058265D" w:rsidP="0058265D">
      <w:pPr>
        <w:rPr>
          <w:b/>
          <w:u w:val="single"/>
        </w:rPr>
      </w:pPr>
      <w:r w:rsidRPr="00B01E0C">
        <w:rPr>
          <w:b/>
          <w:u w:val="single"/>
        </w:rPr>
        <w:t>Learning Schedule</w:t>
      </w:r>
      <w:r w:rsidR="009C547A">
        <w:rPr>
          <w:b/>
          <w:u w:val="single"/>
        </w:rPr>
        <w:t xml:space="preserve"> and Assignment Due Dates</w:t>
      </w:r>
    </w:p>
    <w:p w14:paraId="32579ECF" w14:textId="77777777" w:rsidR="0058265D" w:rsidRDefault="0058265D" w:rsidP="0058265D"/>
    <w:p w14:paraId="66743381" w14:textId="3BA19254" w:rsidR="0058265D" w:rsidRDefault="0058265D" w:rsidP="0058265D">
      <w:pPr>
        <w:rPr>
          <w:color w:val="000000"/>
        </w:rPr>
      </w:pPr>
      <w:r w:rsidRPr="00DD30C9">
        <w:rPr>
          <w:bCs/>
          <w:color w:val="000000"/>
        </w:rPr>
        <w:t>Module 1. Introduction</w:t>
      </w:r>
      <w:r w:rsidRPr="00DD30C9">
        <w:rPr>
          <w:rFonts w:hint="eastAsia"/>
          <w:bCs/>
          <w:color w:val="000000"/>
          <w:lang w:eastAsia="zh-CN"/>
        </w:rPr>
        <w:t xml:space="preserve"> </w:t>
      </w:r>
      <w:r w:rsidR="00465736">
        <w:rPr>
          <w:bCs/>
          <w:color w:val="000000"/>
          <w:lang w:eastAsia="zh-CN"/>
        </w:rPr>
        <w:t xml:space="preserve">to Performance Consulting </w:t>
      </w:r>
      <w:r>
        <w:rPr>
          <w:bCs/>
          <w:color w:val="000000"/>
        </w:rPr>
        <w:t>(</w:t>
      </w:r>
      <w:r w:rsidR="008016BD">
        <w:rPr>
          <w:bCs/>
          <w:color w:val="000000"/>
        </w:rPr>
        <w:t>March 4th</w:t>
      </w:r>
      <w:r w:rsidRPr="00DD30C9">
        <w:rPr>
          <w:bCs/>
          <w:color w:val="000000"/>
        </w:rPr>
        <w:t>—</w:t>
      </w:r>
      <w:r w:rsidR="008016BD">
        <w:rPr>
          <w:bCs/>
          <w:color w:val="000000"/>
        </w:rPr>
        <w:t>March 10</w:t>
      </w:r>
      <w:r w:rsidRPr="00DD30C9">
        <w:rPr>
          <w:bCs/>
          <w:color w:val="000000"/>
        </w:rPr>
        <w:t>)</w:t>
      </w:r>
      <w:r w:rsidRPr="00DD30C9">
        <w:rPr>
          <w:color w:val="000000"/>
        </w:rPr>
        <w:br/>
      </w:r>
    </w:p>
    <w:p w14:paraId="4CBF8E68" w14:textId="7DD322F4" w:rsidR="004E02F5" w:rsidRDefault="004E02F5" w:rsidP="0058265D">
      <w:pPr>
        <w:rPr>
          <w:color w:val="000000"/>
        </w:rPr>
      </w:pPr>
      <w:r>
        <w:rPr>
          <w:color w:val="000000"/>
        </w:rPr>
        <w:t xml:space="preserve">Self-introduction due: </w:t>
      </w:r>
      <w:r w:rsidR="008016BD">
        <w:rPr>
          <w:color w:val="000000"/>
        </w:rPr>
        <w:t>March 10</w:t>
      </w:r>
    </w:p>
    <w:p w14:paraId="12E8C092" w14:textId="52A86D1B" w:rsidR="00465736" w:rsidRDefault="004E02F5" w:rsidP="0058265D">
      <w:pPr>
        <w:rPr>
          <w:color w:val="000000"/>
        </w:rPr>
      </w:pPr>
      <w:r>
        <w:rPr>
          <w:color w:val="000000"/>
        </w:rPr>
        <w:t xml:space="preserve">Module 1 </w:t>
      </w:r>
      <w:r w:rsidR="0058265D">
        <w:rPr>
          <w:color w:val="000000"/>
        </w:rPr>
        <w:t xml:space="preserve">Online Discussion Due: </w:t>
      </w:r>
      <w:r w:rsidR="008016BD">
        <w:rPr>
          <w:color w:val="000000"/>
        </w:rPr>
        <w:t>March 10</w:t>
      </w:r>
      <w:r w:rsidR="0058265D">
        <w:rPr>
          <w:color w:val="000000"/>
        </w:rPr>
        <w:t>.</w:t>
      </w:r>
    </w:p>
    <w:p w14:paraId="4F9D19C2" w14:textId="77777777" w:rsidR="0033389D" w:rsidRDefault="0033389D" w:rsidP="0058265D">
      <w:pPr>
        <w:rPr>
          <w:color w:val="000000"/>
        </w:rPr>
      </w:pPr>
      <w:r>
        <w:rPr>
          <w:color w:val="000000"/>
        </w:rPr>
        <w:t xml:space="preserve"> </w:t>
      </w:r>
    </w:p>
    <w:p w14:paraId="1442D585" w14:textId="5CF46BD6" w:rsidR="0058265D" w:rsidRPr="00F550FD" w:rsidRDefault="0058265D" w:rsidP="0058265D">
      <w:pPr>
        <w:rPr>
          <w:bCs/>
          <w:color w:val="000000"/>
        </w:rPr>
      </w:pPr>
      <w:r w:rsidRPr="00F550FD">
        <w:rPr>
          <w:bCs/>
          <w:color w:val="000000"/>
        </w:rPr>
        <w:t xml:space="preserve">Module 2. </w:t>
      </w:r>
      <w:r w:rsidR="00465736">
        <w:rPr>
          <w:bCs/>
          <w:color w:val="000000"/>
        </w:rPr>
        <w:t>The Science of Performance Consulting</w:t>
      </w:r>
      <w:r>
        <w:rPr>
          <w:bCs/>
          <w:color w:val="000000"/>
        </w:rPr>
        <w:t xml:space="preserve"> (</w:t>
      </w:r>
      <w:r w:rsidR="008016BD">
        <w:rPr>
          <w:bCs/>
          <w:color w:val="000000"/>
        </w:rPr>
        <w:t>March 11</w:t>
      </w:r>
      <w:r w:rsidR="00D710A6">
        <w:rPr>
          <w:bCs/>
          <w:color w:val="000000"/>
        </w:rPr>
        <w:t>—</w:t>
      </w:r>
      <w:r w:rsidR="008016BD">
        <w:rPr>
          <w:bCs/>
          <w:color w:val="000000"/>
        </w:rPr>
        <w:t>March 17</w:t>
      </w:r>
      <w:r>
        <w:rPr>
          <w:bCs/>
          <w:color w:val="000000"/>
        </w:rPr>
        <w:t xml:space="preserve">) </w:t>
      </w:r>
    </w:p>
    <w:p w14:paraId="059195FD" w14:textId="05B141BB" w:rsidR="008066AC" w:rsidRDefault="008066AC" w:rsidP="008066AC">
      <w:pPr>
        <w:rPr>
          <w:rFonts w:cs="Arial"/>
          <w:color w:val="00B050"/>
          <w:sz w:val="23"/>
          <w:szCs w:val="23"/>
        </w:rPr>
      </w:pPr>
    </w:p>
    <w:p w14:paraId="5A58F77A" w14:textId="634A64D7" w:rsidR="004D143E" w:rsidRPr="004D143E" w:rsidRDefault="00D710A6" w:rsidP="0058265D">
      <w:pPr>
        <w:rPr>
          <w:bCs/>
          <w:color w:val="000000"/>
        </w:rPr>
      </w:pPr>
      <w:r>
        <w:rPr>
          <w:bCs/>
          <w:color w:val="000000"/>
        </w:rPr>
        <w:t xml:space="preserve">Online Discussion Due </w:t>
      </w:r>
      <w:r w:rsidR="008016BD">
        <w:rPr>
          <w:bCs/>
          <w:color w:val="000000"/>
        </w:rPr>
        <w:t>March 17</w:t>
      </w:r>
      <w:r w:rsidR="004D143E" w:rsidRPr="004D143E">
        <w:rPr>
          <w:bCs/>
          <w:color w:val="000000"/>
        </w:rPr>
        <w:t>.</w:t>
      </w:r>
    </w:p>
    <w:p w14:paraId="4ECE13B5" w14:textId="6A66E82D" w:rsidR="0033389D" w:rsidRPr="00B01B41" w:rsidRDefault="0033389D" w:rsidP="0033389D">
      <w:pPr>
        <w:rPr>
          <w:color w:val="000000"/>
        </w:rPr>
      </w:pPr>
      <w:r>
        <w:rPr>
          <w:color w:val="000000"/>
        </w:rPr>
        <w:t>Case analysis</w:t>
      </w:r>
      <w:r w:rsidR="001F2AE9">
        <w:rPr>
          <w:color w:val="000000"/>
        </w:rPr>
        <w:t xml:space="preserve"> 1</w:t>
      </w:r>
      <w:r>
        <w:rPr>
          <w:color w:val="000000"/>
        </w:rPr>
        <w:t xml:space="preserve"> due </w:t>
      </w:r>
      <w:r w:rsidR="008016BD">
        <w:rPr>
          <w:color w:val="000000"/>
        </w:rPr>
        <w:t>March 17</w:t>
      </w:r>
      <w:r>
        <w:rPr>
          <w:color w:val="000000"/>
        </w:rPr>
        <w:t>.</w:t>
      </w:r>
    </w:p>
    <w:p w14:paraId="2573DD39" w14:textId="7C335009" w:rsidR="0058265D" w:rsidRPr="00B01B41" w:rsidRDefault="0033389D" w:rsidP="0058265D">
      <w:pPr>
        <w:pStyle w:val="references"/>
        <w:ind w:left="720" w:hanging="720"/>
        <w:rPr>
          <w:rFonts w:ascii="Times New Roman" w:hAnsi="Times New Roman"/>
          <w:color w:val="000000"/>
          <w:sz w:val="24"/>
          <w:szCs w:val="24"/>
        </w:rPr>
      </w:pPr>
      <w:r>
        <w:rPr>
          <w:rFonts w:ascii="Times New Roman" w:hAnsi="Times New Roman"/>
          <w:color w:val="000000"/>
          <w:sz w:val="24"/>
          <w:szCs w:val="24"/>
        </w:rPr>
        <w:t xml:space="preserve"> </w:t>
      </w:r>
    </w:p>
    <w:p w14:paraId="68FA932B" w14:textId="5C9E5935" w:rsidR="0058265D" w:rsidRDefault="0058265D" w:rsidP="0058265D">
      <w:r w:rsidRPr="00F550FD">
        <w:t xml:space="preserve">Module 3 </w:t>
      </w:r>
      <w:r w:rsidR="0033389D">
        <w:t>Consulting Skills</w:t>
      </w:r>
      <w:r w:rsidR="00DD2589">
        <w:t xml:space="preserve"> (</w:t>
      </w:r>
      <w:r w:rsidR="008016BD">
        <w:t>March 18</w:t>
      </w:r>
      <w:r w:rsidR="00B12C30">
        <w:t>—</w:t>
      </w:r>
      <w:r w:rsidR="008016BD">
        <w:t>March 24</w:t>
      </w:r>
      <w:r>
        <w:t xml:space="preserve">) </w:t>
      </w:r>
    </w:p>
    <w:p w14:paraId="39D7F13B" w14:textId="3DA2A639" w:rsidR="001F2AE9" w:rsidRDefault="001F2AE9" w:rsidP="001F2AE9">
      <w:pPr>
        <w:rPr>
          <w:rFonts w:cs="Arial"/>
          <w:color w:val="00B050"/>
          <w:sz w:val="23"/>
          <w:szCs w:val="23"/>
        </w:rPr>
      </w:pPr>
    </w:p>
    <w:p w14:paraId="427DD11A" w14:textId="2438E1B2" w:rsidR="001F2AE9" w:rsidRPr="004D143E" w:rsidRDefault="001F2AE9" w:rsidP="001F2AE9">
      <w:pPr>
        <w:rPr>
          <w:bCs/>
          <w:color w:val="000000"/>
        </w:rPr>
      </w:pPr>
      <w:r>
        <w:rPr>
          <w:bCs/>
          <w:color w:val="000000"/>
        </w:rPr>
        <w:t xml:space="preserve">Online Discussion Due </w:t>
      </w:r>
      <w:r w:rsidR="008016BD">
        <w:rPr>
          <w:bCs/>
          <w:color w:val="000000"/>
        </w:rPr>
        <w:t>March 24</w:t>
      </w:r>
      <w:r w:rsidRPr="004D143E">
        <w:rPr>
          <w:bCs/>
          <w:color w:val="000000"/>
        </w:rPr>
        <w:t>.</w:t>
      </w:r>
    </w:p>
    <w:p w14:paraId="4016B72B" w14:textId="77777777" w:rsidR="001F2AE9" w:rsidRDefault="001F2AE9" w:rsidP="0058265D"/>
    <w:p w14:paraId="7AA6FA13" w14:textId="77777777" w:rsidR="0033389D" w:rsidRDefault="0033389D" w:rsidP="0058265D"/>
    <w:p w14:paraId="62D1E6B2" w14:textId="38BEBF7C" w:rsidR="0033389D" w:rsidRDefault="0033389D" w:rsidP="0058265D">
      <w:r>
        <w:t>Module 4 Performance analysis (</w:t>
      </w:r>
      <w:r w:rsidR="008016BD">
        <w:t>March 25</w:t>
      </w:r>
      <w:r>
        <w:t xml:space="preserve"> – March </w:t>
      </w:r>
      <w:r w:rsidR="008016BD">
        <w:t>31</w:t>
      </w:r>
      <w:r>
        <w:t>)</w:t>
      </w:r>
    </w:p>
    <w:p w14:paraId="6C1EF1BC" w14:textId="77777777" w:rsidR="001F2AE9" w:rsidRDefault="001F2AE9" w:rsidP="0058265D"/>
    <w:p w14:paraId="2056BAF0" w14:textId="47E7FB94" w:rsidR="001F2AE9" w:rsidRDefault="001F2AE9" w:rsidP="0058265D">
      <w:r>
        <w:t>Case 2 analysis due: 03/</w:t>
      </w:r>
      <w:r w:rsidR="008016BD">
        <w:t>31</w:t>
      </w:r>
    </w:p>
    <w:p w14:paraId="69905530" w14:textId="3D8C4DEB" w:rsidR="001F2AE9" w:rsidRPr="004D143E" w:rsidRDefault="001F2AE9" w:rsidP="001F2AE9">
      <w:pPr>
        <w:rPr>
          <w:bCs/>
          <w:color w:val="000000"/>
        </w:rPr>
      </w:pPr>
      <w:r>
        <w:rPr>
          <w:bCs/>
          <w:color w:val="000000"/>
        </w:rPr>
        <w:t xml:space="preserve">Online Discussion Due March </w:t>
      </w:r>
      <w:r w:rsidR="008016BD">
        <w:rPr>
          <w:bCs/>
          <w:color w:val="000000"/>
        </w:rPr>
        <w:t>31</w:t>
      </w:r>
      <w:r w:rsidRPr="004D143E">
        <w:rPr>
          <w:bCs/>
          <w:color w:val="000000"/>
        </w:rPr>
        <w:t>.</w:t>
      </w:r>
    </w:p>
    <w:p w14:paraId="61211137" w14:textId="77777777" w:rsidR="001F2AE9" w:rsidRDefault="001F2AE9" w:rsidP="001F2AE9"/>
    <w:p w14:paraId="1A2A7327" w14:textId="77777777" w:rsidR="001F2AE9" w:rsidRDefault="001F2AE9" w:rsidP="0058265D"/>
    <w:p w14:paraId="35035DB2" w14:textId="77777777" w:rsidR="0033389D" w:rsidRDefault="0033389D" w:rsidP="0058265D"/>
    <w:p w14:paraId="5C106289" w14:textId="5F40AAE1" w:rsidR="0033389D" w:rsidRDefault="0033389D" w:rsidP="0033389D">
      <w:r>
        <w:t xml:space="preserve">Module 5 </w:t>
      </w:r>
      <w:r>
        <w:rPr>
          <w:bCs/>
          <w:color w:val="000000"/>
        </w:rPr>
        <w:t xml:space="preserve">Evidence-based Consulting: </w:t>
      </w:r>
      <w:r w:rsidRPr="00B861B7">
        <w:rPr>
          <w:bCs/>
          <w:color w:val="000000"/>
        </w:rPr>
        <w:t xml:space="preserve">Data Collection </w:t>
      </w:r>
      <w:r>
        <w:t>(</w:t>
      </w:r>
      <w:r w:rsidR="008016BD">
        <w:t>April 1st</w:t>
      </w:r>
      <w:r>
        <w:t xml:space="preserve"> –</w:t>
      </w:r>
      <w:r w:rsidR="008016BD">
        <w:t xml:space="preserve"> April 7</w:t>
      </w:r>
      <w:r>
        <w:t>)</w:t>
      </w:r>
    </w:p>
    <w:p w14:paraId="5A58A2B7" w14:textId="34B8805C" w:rsidR="0033389D" w:rsidRDefault="0033389D" w:rsidP="0033389D">
      <w:pPr>
        <w:rPr>
          <w:rFonts w:cs="Arial"/>
          <w:color w:val="00B050"/>
          <w:sz w:val="23"/>
          <w:szCs w:val="23"/>
        </w:rPr>
      </w:pPr>
    </w:p>
    <w:p w14:paraId="05291D77" w14:textId="01D7B3B0" w:rsidR="0033389D" w:rsidRDefault="0033389D" w:rsidP="0033389D">
      <w:pPr>
        <w:rPr>
          <w:bCs/>
          <w:color w:val="000000"/>
        </w:rPr>
      </w:pPr>
      <w:r>
        <w:rPr>
          <w:bCs/>
          <w:color w:val="000000"/>
        </w:rPr>
        <w:t xml:space="preserve">Online Discussion Due: </w:t>
      </w:r>
      <w:r w:rsidR="008016BD">
        <w:rPr>
          <w:bCs/>
          <w:color w:val="000000"/>
        </w:rPr>
        <w:t>April 7</w:t>
      </w:r>
      <w:r>
        <w:rPr>
          <w:bCs/>
          <w:color w:val="000000"/>
        </w:rPr>
        <w:t xml:space="preserve">. </w:t>
      </w:r>
    </w:p>
    <w:p w14:paraId="5E7E43D9" w14:textId="5993D6B0" w:rsidR="0033389D" w:rsidRPr="00492F15" w:rsidRDefault="0033389D" w:rsidP="0033389D">
      <w:pPr>
        <w:rPr>
          <w:b/>
          <w:bCs/>
          <w:color w:val="000000"/>
        </w:rPr>
      </w:pPr>
    </w:p>
    <w:p w14:paraId="42EB7898" w14:textId="77777777" w:rsidR="0033389D" w:rsidRDefault="0033389D" w:rsidP="0033389D"/>
    <w:p w14:paraId="4420E045" w14:textId="1E65CAFC" w:rsidR="008066AC" w:rsidRPr="0033389D" w:rsidRDefault="0033389D" w:rsidP="0058265D">
      <w:r>
        <w:t xml:space="preserve">Module 6 Developing Consulting Proposal (April </w:t>
      </w:r>
      <w:r w:rsidR="008016BD">
        <w:t>8</w:t>
      </w:r>
      <w:r>
        <w:t xml:space="preserve"> – April 1</w:t>
      </w:r>
      <w:r w:rsidR="008016BD">
        <w:t>4</w:t>
      </w:r>
      <w:r>
        <w:t>)</w:t>
      </w:r>
    </w:p>
    <w:p w14:paraId="219F4DC4" w14:textId="77A267D9" w:rsidR="0033389D" w:rsidRPr="001F2AE9" w:rsidRDefault="0033389D" w:rsidP="0033389D">
      <w:pPr>
        <w:rPr>
          <w:b/>
          <w:bCs/>
          <w:color w:val="000000"/>
        </w:rPr>
      </w:pPr>
      <w:r>
        <w:rPr>
          <w:bCs/>
          <w:color w:val="000000"/>
        </w:rPr>
        <w:t xml:space="preserve"> </w:t>
      </w:r>
    </w:p>
    <w:p w14:paraId="11A04B03" w14:textId="3792C4E4" w:rsidR="00912A87" w:rsidRDefault="004D143E" w:rsidP="0058265D">
      <w:pPr>
        <w:rPr>
          <w:color w:val="000000"/>
        </w:rPr>
      </w:pPr>
      <w:r>
        <w:rPr>
          <w:color w:val="000000"/>
        </w:rPr>
        <w:t xml:space="preserve">Online </w:t>
      </w:r>
      <w:r w:rsidR="00B12C30">
        <w:rPr>
          <w:color w:val="000000"/>
        </w:rPr>
        <w:t xml:space="preserve">Discussion Due: April </w:t>
      </w:r>
      <w:r w:rsidR="001F2AE9">
        <w:rPr>
          <w:color w:val="000000"/>
        </w:rPr>
        <w:t>1</w:t>
      </w:r>
      <w:r w:rsidR="008016BD">
        <w:rPr>
          <w:color w:val="000000"/>
        </w:rPr>
        <w:t>4</w:t>
      </w:r>
      <w:r w:rsidR="0058265D">
        <w:rPr>
          <w:color w:val="000000"/>
        </w:rPr>
        <w:t xml:space="preserve">. </w:t>
      </w:r>
    </w:p>
    <w:p w14:paraId="06D60DC1" w14:textId="09811EBA" w:rsidR="0058265D" w:rsidRPr="00B01B41" w:rsidRDefault="004D143E" w:rsidP="0058265D">
      <w:pPr>
        <w:rPr>
          <w:color w:val="000000"/>
        </w:rPr>
      </w:pPr>
      <w:r>
        <w:rPr>
          <w:color w:val="000000"/>
        </w:rPr>
        <w:t xml:space="preserve"> </w:t>
      </w:r>
    </w:p>
    <w:p w14:paraId="41DB4FA1" w14:textId="081009A7" w:rsidR="0058265D" w:rsidRDefault="0058265D" w:rsidP="0058265D">
      <w:pPr>
        <w:pStyle w:val="BodyText2"/>
        <w:rPr>
          <w:sz w:val="24"/>
          <w:szCs w:val="24"/>
        </w:rPr>
      </w:pPr>
      <w:r w:rsidRPr="00B861B7">
        <w:rPr>
          <w:sz w:val="24"/>
          <w:szCs w:val="24"/>
        </w:rPr>
        <w:t xml:space="preserve">Module </w:t>
      </w:r>
      <w:r w:rsidR="0033389D">
        <w:rPr>
          <w:sz w:val="24"/>
          <w:szCs w:val="24"/>
        </w:rPr>
        <w:t>7</w:t>
      </w:r>
      <w:r w:rsidRPr="00B861B7">
        <w:rPr>
          <w:sz w:val="24"/>
          <w:szCs w:val="24"/>
        </w:rPr>
        <w:t xml:space="preserve"> </w:t>
      </w:r>
      <w:r w:rsidR="00BC2919">
        <w:rPr>
          <w:sz w:val="24"/>
          <w:szCs w:val="24"/>
        </w:rPr>
        <w:t>Wrap up</w:t>
      </w:r>
      <w:r w:rsidR="00A1228B">
        <w:rPr>
          <w:sz w:val="24"/>
          <w:szCs w:val="24"/>
        </w:rPr>
        <w:t xml:space="preserve"> and</w:t>
      </w:r>
      <w:r w:rsidR="00BC2919">
        <w:rPr>
          <w:sz w:val="24"/>
          <w:szCs w:val="24"/>
        </w:rPr>
        <w:t xml:space="preserve"> </w:t>
      </w:r>
      <w:proofErr w:type="gramStart"/>
      <w:r w:rsidR="00BC2919">
        <w:rPr>
          <w:sz w:val="24"/>
          <w:szCs w:val="24"/>
        </w:rPr>
        <w:t>Showcase</w:t>
      </w:r>
      <w:proofErr w:type="gramEnd"/>
      <w:r w:rsidR="00BC2919">
        <w:rPr>
          <w:sz w:val="24"/>
          <w:szCs w:val="24"/>
        </w:rPr>
        <w:t xml:space="preserve"> your learning</w:t>
      </w:r>
      <w:r w:rsidR="00B12C30">
        <w:rPr>
          <w:sz w:val="24"/>
          <w:szCs w:val="24"/>
        </w:rPr>
        <w:t xml:space="preserve"> (April </w:t>
      </w:r>
      <w:r w:rsidR="0033389D">
        <w:rPr>
          <w:sz w:val="24"/>
          <w:szCs w:val="24"/>
        </w:rPr>
        <w:t>15</w:t>
      </w:r>
      <w:r w:rsidR="00E045F8">
        <w:rPr>
          <w:sz w:val="24"/>
          <w:szCs w:val="24"/>
        </w:rPr>
        <w:t xml:space="preserve">—April </w:t>
      </w:r>
      <w:r w:rsidR="008016BD">
        <w:rPr>
          <w:sz w:val="24"/>
          <w:szCs w:val="24"/>
        </w:rPr>
        <w:t>21</w:t>
      </w:r>
      <w:r>
        <w:rPr>
          <w:sz w:val="24"/>
          <w:szCs w:val="24"/>
        </w:rPr>
        <w:t>)</w:t>
      </w:r>
    </w:p>
    <w:p w14:paraId="00BA78AA" w14:textId="6B89AA67" w:rsidR="009A3F81" w:rsidRPr="00B12C30" w:rsidRDefault="004D143E" w:rsidP="00B12C30">
      <w:pPr>
        <w:pStyle w:val="BodyText2"/>
        <w:rPr>
          <w:sz w:val="24"/>
          <w:szCs w:val="24"/>
        </w:rPr>
      </w:pPr>
      <w:r>
        <w:rPr>
          <w:sz w:val="24"/>
          <w:szCs w:val="24"/>
        </w:rPr>
        <w:t>F</w:t>
      </w:r>
      <w:r w:rsidR="00E045F8">
        <w:rPr>
          <w:sz w:val="24"/>
          <w:szCs w:val="24"/>
        </w:rPr>
        <w:t xml:space="preserve">inal Project Paper Due: April </w:t>
      </w:r>
      <w:r w:rsidR="008016BD">
        <w:rPr>
          <w:sz w:val="24"/>
          <w:szCs w:val="24"/>
        </w:rPr>
        <w:t>18</w:t>
      </w:r>
      <w:r w:rsidR="00E045F8">
        <w:rPr>
          <w:sz w:val="24"/>
          <w:szCs w:val="24"/>
        </w:rPr>
        <w:t>, 20</w:t>
      </w:r>
      <w:r w:rsidR="008B7385">
        <w:rPr>
          <w:sz w:val="24"/>
          <w:szCs w:val="24"/>
        </w:rPr>
        <w:t>2</w:t>
      </w:r>
      <w:r w:rsidR="0033389D">
        <w:rPr>
          <w:sz w:val="24"/>
          <w:szCs w:val="24"/>
        </w:rPr>
        <w:t>4</w:t>
      </w:r>
    </w:p>
    <w:p w14:paraId="361802C0" w14:textId="205178AF" w:rsidR="00336443" w:rsidRDefault="00336443" w:rsidP="00336443">
      <w:pPr>
        <w:tabs>
          <w:tab w:val="left" w:pos="821"/>
        </w:tabs>
        <w:spacing w:before="1"/>
        <w:ind w:right="753"/>
        <w:jc w:val="center"/>
      </w:pPr>
      <w:r>
        <w:t>Online Discussion</w:t>
      </w:r>
      <w:r w:rsidR="00947E31">
        <w:t xml:space="preserve"> (</w:t>
      </w:r>
      <w:r w:rsidR="008016BD">
        <w:t>40</w:t>
      </w:r>
      <w:r w:rsidR="00947E31">
        <w:t>%)</w:t>
      </w:r>
    </w:p>
    <w:p w14:paraId="009EBA10" w14:textId="77777777" w:rsidR="00336443" w:rsidRDefault="00336443" w:rsidP="00336443">
      <w:pPr>
        <w:tabs>
          <w:tab w:val="left" w:pos="821"/>
        </w:tabs>
        <w:spacing w:before="1"/>
        <w:ind w:right="753"/>
        <w:jc w:val="center"/>
      </w:pPr>
    </w:p>
    <w:p w14:paraId="19C34096" w14:textId="6D66E678" w:rsidR="00336443" w:rsidRDefault="00336443" w:rsidP="00336443">
      <w:pPr>
        <w:tabs>
          <w:tab w:val="left" w:pos="821"/>
        </w:tabs>
        <w:spacing w:before="1"/>
        <w:ind w:right="753"/>
      </w:pPr>
      <w:r>
        <w:t>Please refer to the discussion requirements listed under each discussion assignment in Canvas. The following describes the participation criteria. Participation with peers will account for 50% of the eligible discussion score.</w:t>
      </w:r>
    </w:p>
    <w:tbl>
      <w:tblPr>
        <w:tblW w:w="5030" w:type="pct"/>
        <w:jc w:val="center"/>
        <w:tblCellSpacing w:w="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firstRow="1" w:lastRow="0" w:firstColumn="1" w:lastColumn="0" w:noHBand="0" w:noVBand="1"/>
      </w:tblPr>
      <w:tblGrid>
        <w:gridCol w:w="612"/>
        <w:gridCol w:w="8788"/>
      </w:tblGrid>
      <w:tr w:rsidR="00336443" w:rsidRPr="005E5E16" w14:paraId="2712242C" w14:textId="77777777" w:rsidTr="0034072E">
        <w:trPr>
          <w:trHeight w:val="1091"/>
          <w:tblCellSpacing w:w="0" w:type="dxa"/>
          <w:jc w:val="center"/>
        </w:trPr>
        <w:tc>
          <w:tcPr>
            <w:tcW w:w="29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29174EF" w14:textId="77777777" w:rsidR="00336443" w:rsidRPr="005E5E16" w:rsidRDefault="00336443" w:rsidP="0034072E">
            <w:pPr>
              <w:keepNext/>
              <w:keepLines/>
              <w:jc w:val="center"/>
              <w:rPr>
                <w:sz w:val="21"/>
                <w:szCs w:val="21"/>
              </w:rPr>
            </w:pPr>
            <w:r w:rsidRPr="005E5E16">
              <w:rPr>
                <w:b/>
                <w:bCs/>
                <w:iCs/>
                <w:sz w:val="21"/>
                <w:szCs w:val="21"/>
              </w:rPr>
              <w:lastRenderedPageBreak/>
              <w:t>Score</w:t>
            </w:r>
          </w:p>
        </w:tc>
        <w:tc>
          <w:tcPr>
            <w:tcW w:w="470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13FE8BD" w14:textId="77777777" w:rsidR="00336443" w:rsidRPr="005E5E16" w:rsidRDefault="00336443" w:rsidP="0034072E">
            <w:pPr>
              <w:keepNext/>
              <w:keepLines/>
              <w:jc w:val="center"/>
              <w:rPr>
                <w:sz w:val="21"/>
                <w:szCs w:val="21"/>
              </w:rPr>
            </w:pPr>
            <w:r w:rsidRPr="005E5E16">
              <w:rPr>
                <w:b/>
                <w:bCs/>
                <w:iCs/>
                <w:sz w:val="21"/>
                <w:szCs w:val="21"/>
              </w:rPr>
              <w:t>Description</w:t>
            </w:r>
          </w:p>
          <w:p w14:paraId="1BD07480" w14:textId="00B1331C" w:rsidR="00336443" w:rsidRPr="005E5E16" w:rsidRDefault="00336443" w:rsidP="0034072E">
            <w:pPr>
              <w:keepNext/>
              <w:keepLines/>
              <w:rPr>
                <w:sz w:val="21"/>
                <w:szCs w:val="21"/>
              </w:rPr>
            </w:pPr>
            <w:r w:rsidRPr="005E5E16">
              <w:rPr>
                <w:iCs/>
                <w:sz w:val="21"/>
                <w:szCs w:val="21"/>
              </w:rPr>
              <w:t xml:space="preserve">Note: The length of the initial contribution should be a minimum of </w:t>
            </w:r>
            <w:r>
              <w:rPr>
                <w:iCs/>
                <w:sz w:val="21"/>
                <w:szCs w:val="21"/>
              </w:rPr>
              <w:t>300</w:t>
            </w:r>
            <w:r w:rsidRPr="005E5E16">
              <w:rPr>
                <w:iCs/>
                <w:sz w:val="21"/>
                <w:szCs w:val="21"/>
              </w:rPr>
              <w:t xml:space="preserve"> words and not exceed 500 words. Actively responding to another student's initial submission means providing the rationale as to why you agree or disagree with other students with supported arguments from literature or credible sources; responses such as "I agree," will not be counted.</w:t>
            </w:r>
          </w:p>
        </w:tc>
      </w:tr>
      <w:tr w:rsidR="00336443" w:rsidRPr="005E5E16" w14:paraId="485668BF" w14:textId="77777777" w:rsidTr="0034072E">
        <w:trPr>
          <w:tblCellSpacing w:w="0" w:type="dxa"/>
          <w:jc w:val="center"/>
        </w:trPr>
        <w:tc>
          <w:tcPr>
            <w:tcW w:w="295" w:type="pct"/>
            <w:tcBorders>
              <w:top w:val="outset" w:sz="6" w:space="0" w:color="auto"/>
              <w:left w:val="outset" w:sz="6" w:space="0" w:color="auto"/>
              <w:bottom w:val="outset" w:sz="6" w:space="0" w:color="auto"/>
              <w:right w:val="outset" w:sz="6" w:space="0" w:color="auto"/>
            </w:tcBorders>
            <w:hideMark/>
          </w:tcPr>
          <w:p w14:paraId="7E02855F" w14:textId="327432CC" w:rsidR="00336443" w:rsidRPr="005E5E16" w:rsidRDefault="00947E31" w:rsidP="0034072E">
            <w:pPr>
              <w:keepNext/>
              <w:keepLines/>
              <w:jc w:val="center"/>
              <w:rPr>
                <w:sz w:val="21"/>
                <w:szCs w:val="21"/>
              </w:rPr>
            </w:pPr>
            <w:r>
              <w:rPr>
                <w:sz w:val="21"/>
                <w:szCs w:val="21"/>
              </w:rPr>
              <w:t>100</w:t>
            </w:r>
            <w:r w:rsidR="00336443" w:rsidRPr="005E5E16">
              <w:rPr>
                <w:sz w:val="21"/>
                <w:szCs w:val="21"/>
              </w:rPr>
              <w:t>%</w:t>
            </w:r>
          </w:p>
        </w:tc>
        <w:tc>
          <w:tcPr>
            <w:tcW w:w="4705" w:type="pct"/>
            <w:tcBorders>
              <w:top w:val="outset" w:sz="6" w:space="0" w:color="auto"/>
              <w:left w:val="outset" w:sz="6" w:space="0" w:color="auto"/>
              <w:bottom w:val="outset" w:sz="6" w:space="0" w:color="auto"/>
              <w:right w:val="outset" w:sz="6" w:space="0" w:color="auto"/>
            </w:tcBorders>
            <w:hideMark/>
          </w:tcPr>
          <w:p w14:paraId="41C3821A" w14:textId="77777777" w:rsidR="00336443" w:rsidRPr="005E5E16" w:rsidRDefault="00336443" w:rsidP="0034072E">
            <w:pPr>
              <w:keepNext/>
              <w:keepLines/>
              <w:ind w:left="118"/>
              <w:rPr>
                <w:sz w:val="21"/>
                <w:szCs w:val="21"/>
              </w:rPr>
            </w:pPr>
            <w:r w:rsidRPr="005E5E16">
              <w:rPr>
                <w:b/>
                <w:bCs/>
                <w:iCs/>
                <w:sz w:val="21"/>
                <w:szCs w:val="21"/>
              </w:rPr>
              <w:t>Exceptional Participation – Met both of these conditions:</w:t>
            </w:r>
          </w:p>
          <w:p w14:paraId="0462EB34" w14:textId="09A4A357" w:rsidR="00336443" w:rsidRPr="005E5E16" w:rsidRDefault="00336443" w:rsidP="00336443">
            <w:pPr>
              <w:keepNext/>
              <w:keepLines/>
              <w:numPr>
                <w:ilvl w:val="0"/>
                <w:numId w:val="26"/>
              </w:numPr>
              <w:ind w:left="388" w:hanging="180"/>
              <w:rPr>
                <w:sz w:val="21"/>
                <w:szCs w:val="21"/>
              </w:rPr>
            </w:pPr>
            <w:r w:rsidRPr="005E5E16">
              <w:rPr>
                <w:sz w:val="21"/>
                <w:szCs w:val="21"/>
              </w:rPr>
              <w:t xml:space="preserve">Submitted own contribution and actively responded to </w:t>
            </w:r>
            <w:r w:rsidR="00947E31">
              <w:rPr>
                <w:sz w:val="21"/>
                <w:szCs w:val="21"/>
              </w:rPr>
              <w:t>3</w:t>
            </w:r>
            <w:r w:rsidRPr="005E5E16">
              <w:rPr>
                <w:sz w:val="21"/>
                <w:szCs w:val="21"/>
              </w:rPr>
              <w:t xml:space="preserve"> or more other students.</w:t>
            </w:r>
          </w:p>
          <w:p w14:paraId="61E5CF81" w14:textId="77777777" w:rsidR="00336443" w:rsidRPr="005E5E16" w:rsidRDefault="00336443" w:rsidP="00336443">
            <w:pPr>
              <w:keepNext/>
              <w:keepLines/>
              <w:numPr>
                <w:ilvl w:val="0"/>
                <w:numId w:val="26"/>
              </w:numPr>
              <w:ind w:left="388" w:hanging="180"/>
              <w:rPr>
                <w:sz w:val="21"/>
                <w:szCs w:val="21"/>
              </w:rPr>
            </w:pPr>
            <w:r w:rsidRPr="005E5E16">
              <w:rPr>
                <w:bCs/>
                <w:iCs/>
                <w:sz w:val="21"/>
                <w:szCs w:val="21"/>
              </w:rPr>
              <w:t xml:space="preserve">Exceptional quality - </w:t>
            </w:r>
            <w:r w:rsidRPr="005E5E16">
              <w:rPr>
                <w:sz w:val="21"/>
                <w:szCs w:val="21"/>
              </w:rPr>
              <w:t>Student explored others' comments and built on others' insights. The contributions are especially insightful and represent new high-value added input with new insights, material, and/or references.</w:t>
            </w:r>
          </w:p>
        </w:tc>
      </w:tr>
      <w:tr w:rsidR="00336443" w:rsidRPr="005E5E16" w14:paraId="76F929D9" w14:textId="77777777" w:rsidTr="0034072E">
        <w:trPr>
          <w:tblCellSpacing w:w="0" w:type="dxa"/>
          <w:jc w:val="center"/>
        </w:trPr>
        <w:tc>
          <w:tcPr>
            <w:tcW w:w="295" w:type="pct"/>
            <w:tcBorders>
              <w:top w:val="outset" w:sz="6" w:space="0" w:color="auto"/>
              <w:left w:val="outset" w:sz="6" w:space="0" w:color="auto"/>
              <w:bottom w:val="outset" w:sz="6" w:space="0" w:color="auto"/>
              <w:right w:val="outset" w:sz="6" w:space="0" w:color="auto"/>
            </w:tcBorders>
            <w:hideMark/>
          </w:tcPr>
          <w:p w14:paraId="35FD3BE8" w14:textId="50C6F120" w:rsidR="00336443" w:rsidRPr="005E5E16" w:rsidRDefault="00947E31" w:rsidP="0034072E">
            <w:pPr>
              <w:keepNext/>
              <w:keepLines/>
              <w:jc w:val="center"/>
              <w:rPr>
                <w:sz w:val="21"/>
                <w:szCs w:val="21"/>
              </w:rPr>
            </w:pPr>
            <w:r>
              <w:rPr>
                <w:sz w:val="21"/>
                <w:szCs w:val="21"/>
              </w:rPr>
              <w:t>80</w:t>
            </w:r>
            <w:r w:rsidR="00336443" w:rsidRPr="005E5E16">
              <w:rPr>
                <w:sz w:val="21"/>
                <w:szCs w:val="21"/>
              </w:rPr>
              <w:t>%</w:t>
            </w:r>
          </w:p>
        </w:tc>
        <w:tc>
          <w:tcPr>
            <w:tcW w:w="4705" w:type="pct"/>
            <w:tcBorders>
              <w:top w:val="outset" w:sz="6" w:space="0" w:color="auto"/>
              <w:left w:val="outset" w:sz="6" w:space="0" w:color="auto"/>
              <w:bottom w:val="outset" w:sz="6" w:space="0" w:color="auto"/>
              <w:right w:val="outset" w:sz="6" w:space="0" w:color="auto"/>
            </w:tcBorders>
            <w:hideMark/>
          </w:tcPr>
          <w:p w14:paraId="4EF008EC" w14:textId="77777777" w:rsidR="00336443" w:rsidRPr="005E5E16" w:rsidRDefault="00336443" w:rsidP="0034072E">
            <w:pPr>
              <w:keepNext/>
              <w:keepLines/>
              <w:ind w:left="118"/>
              <w:rPr>
                <w:sz w:val="21"/>
                <w:szCs w:val="21"/>
              </w:rPr>
            </w:pPr>
            <w:r w:rsidRPr="005E5E16">
              <w:rPr>
                <w:b/>
                <w:bCs/>
                <w:iCs/>
                <w:sz w:val="21"/>
                <w:szCs w:val="21"/>
              </w:rPr>
              <w:t>Commendable Participation – Met both these conditions:</w:t>
            </w:r>
          </w:p>
          <w:p w14:paraId="6993372C" w14:textId="7F3E1061" w:rsidR="00336443" w:rsidRPr="005E5E16" w:rsidRDefault="00336443" w:rsidP="00336443">
            <w:pPr>
              <w:keepNext/>
              <w:keepLines/>
              <w:numPr>
                <w:ilvl w:val="0"/>
                <w:numId w:val="26"/>
              </w:numPr>
              <w:ind w:left="388" w:hanging="180"/>
              <w:rPr>
                <w:sz w:val="21"/>
                <w:szCs w:val="21"/>
              </w:rPr>
            </w:pPr>
            <w:r w:rsidRPr="005E5E16">
              <w:rPr>
                <w:sz w:val="21"/>
                <w:szCs w:val="21"/>
              </w:rPr>
              <w:t xml:space="preserve">Submitted own contribution and actively responded to </w:t>
            </w:r>
            <w:r w:rsidR="00947E31">
              <w:rPr>
                <w:sz w:val="21"/>
                <w:szCs w:val="21"/>
              </w:rPr>
              <w:t>2</w:t>
            </w:r>
            <w:r w:rsidRPr="005E5E16">
              <w:rPr>
                <w:sz w:val="21"/>
                <w:szCs w:val="21"/>
              </w:rPr>
              <w:t xml:space="preserve"> or more other students.</w:t>
            </w:r>
          </w:p>
          <w:p w14:paraId="4FB89356" w14:textId="77777777" w:rsidR="00336443" w:rsidRPr="005E5E16" w:rsidRDefault="00336443" w:rsidP="00336443">
            <w:pPr>
              <w:keepNext/>
              <w:keepLines/>
              <w:numPr>
                <w:ilvl w:val="0"/>
                <w:numId w:val="26"/>
              </w:numPr>
              <w:ind w:left="388" w:hanging="180"/>
              <w:rPr>
                <w:sz w:val="21"/>
                <w:szCs w:val="21"/>
              </w:rPr>
            </w:pPr>
            <w:r w:rsidRPr="005E5E16">
              <w:rPr>
                <w:sz w:val="21"/>
                <w:szCs w:val="21"/>
              </w:rPr>
              <w:t>High</w:t>
            </w:r>
            <w:r w:rsidRPr="005E5E16">
              <w:rPr>
                <w:bCs/>
                <w:iCs/>
                <w:sz w:val="21"/>
                <w:szCs w:val="21"/>
              </w:rPr>
              <w:t xml:space="preserve"> quality -</w:t>
            </w:r>
            <w:r w:rsidRPr="005E5E16">
              <w:rPr>
                <w:sz w:val="21"/>
                <w:szCs w:val="21"/>
              </w:rPr>
              <w:t xml:space="preserve"> Student explored others' comments and built` on others' insights. The contributions are insightful and represent high-value added input with insights, material, and/or references.</w:t>
            </w:r>
          </w:p>
        </w:tc>
      </w:tr>
      <w:tr w:rsidR="00336443" w:rsidRPr="005E5E16" w14:paraId="1DD63872" w14:textId="77777777" w:rsidTr="0034072E">
        <w:trPr>
          <w:tblCellSpacing w:w="0" w:type="dxa"/>
          <w:jc w:val="center"/>
        </w:trPr>
        <w:tc>
          <w:tcPr>
            <w:tcW w:w="295" w:type="pct"/>
            <w:tcBorders>
              <w:top w:val="outset" w:sz="6" w:space="0" w:color="auto"/>
              <w:left w:val="outset" w:sz="6" w:space="0" w:color="auto"/>
              <w:bottom w:val="outset" w:sz="6" w:space="0" w:color="auto"/>
              <w:right w:val="outset" w:sz="6" w:space="0" w:color="auto"/>
            </w:tcBorders>
            <w:hideMark/>
          </w:tcPr>
          <w:p w14:paraId="4FC76158" w14:textId="11B32D3C" w:rsidR="00336443" w:rsidRPr="005E5E16" w:rsidRDefault="00947E31" w:rsidP="0034072E">
            <w:pPr>
              <w:keepNext/>
              <w:keepLines/>
              <w:jc w:val="center"/>
              <w:rPr>
                <w:sz w:val="21"/>
                <w:szCs w:val="21"/>
              </w:rPr>
            </w:pPr>
            <w:r>
              <w:rPr>
                <w:sz w:val="21"/>
                <w:szCs w:val="21"/>
              </w:rPr>
              <w:t>60</w:t>
            </w:r>
            <w:r w:rsidR="00336443" w:rsidRPr="005E5E16">
              <w:rPr>
                <w:sz w:val="21"/>
                <w:szCs w:val="21"/>
              </w:rPr>
              <w:t>%</w:t>
            </w:r>
          </w:p>
        </w:tc>
        <w:tc>
          <w:tcPr>
            <w:tcW w:w="4705" w:type="pct"/>
            <w:tcBorders>
              <w:top w:val="outset" w:sz="6" w:space="0" w:color="auto"/>
              <w:left w:val="outset" w:sz="6" w:space="0" w:color="auto"/>
              <w:bottom w:val="outset" w:sz="6" w:space="0" w:color="auto"/>
              <w:right w:val="outset" w:sz="6" w:space="0" w:color="auto"/>
            </w:tcBorders>
            <w:hideMark/>
          </w:tcPr>
          <w:p w14:paraId="2EEE3C05" w14:textId="77777777" w:rsidR="00336443" w:rsidRPr="005E5E16" w:rsidRDefault="00336443" w:rsidP="0034072E">
            <w:pPr>
              <w:keepNext/>
              <w:keepLines/>
              <w:ind w:left="118"/>
              <w:rPr>
                <w:sz w:val="21"/>
                <w:szCs w:val="21"/>
              </w:rPr>
            </w:pPr>
            <w:r w:rsidRPr="005E5E16">
              <w:rPr>
                <w:b/>
                <w:bCs/>
                <w:iCs/>
                <w:sz w:val="21"/>
                <w:szCs w:val="21"/>
              </w:rPr>
              <w:t>Moderate Participation – Met both of these conditions:</w:t>
            </w:r>
          </w:p>
          <w:p w14:paraId="0481577F" w14:textId="533F4266" w:rsidR="00336443" w:rsidRPr="005E5E16" w:rsidRDefault="00336443" w:rsidP="00336443">
            <w:pPr>
              <w:keepNext/>
              <w:keepLines/>
              <w:numPr>
                <w:ilvl w:val="0"/>
                <w:numId w:val="27"/>
              </w:numPr>
              <w:ind w:left="388" w:hanging="180"/>
              <w:rPr>
                <w:sz w:val="21"/>
                <w:szCs w:val="21"/>
              </w:rPr>
            </w:pPr>
            <w:r w:rsidRPr="005E5E16">
              <w:rPr>
                <w:sz w:val="21"/>
                <w:szCs w:val="21"/>
              </w:rPr>
              <w:t xml:space="preserve">Submitted own initial contribution for a selected discussion topic and responded to </w:t>
            </w:r>
            <w:r w:rsidR="00947E31">
              <w:rPr>
                <w:sz w:val="21"/>
                <w:szCs w:val="21"/>
              </w:rPr>
              <w:t>1</w:t>
            </w:r>
            <w:r w:rsidRPr="005E5E16">
              <w:rPr>
                <w:sz w:val="21"/>
                <w:szCs w:val="21"/>
              </w:rPr>
              <w:t xml:space="preserve"> or more other students.</w:t>
            </w:r>
          </w:p>
          <w:p w14:paraId="71066825" w14:textId="77777777" w:rsidR="00336443" w:rsidRPr="005E5E16" w:rsidRDefault="00336443" w:rsidP="00336443">
            <w:pPr>
              <w:keepNext/>
              <w:keepLines/>
              <w:numPr>
                <w:ilvl w:val="0"/>
                <w:numId w:val="27"/>
              </w:numPr>
              <w:ind w:left="388" w:hanging="180"/>
              <w:rPr>
                <w:sz w:val="21"/>
                <w:szCs w:val="21"/>
              </w:rPr>
            </w:pPr>
            <w:r w:rsidRPr="005E5E16">
              <w:rPr>
                <w:bCs/>
                <w:iCs/>
                <w:sz w:val="21"/>
                <w:szCs w:val="21"/>
              </w:rPr>
              <w:t xml:space="preserve">Moderate quality </w:t>
            </w:r>
            <w:r w:rsidRPr="005E5E16">
              <w:rPr>
                <w:sz w:val="21"/>
                <w:szCs w:val="21"/>
              </w:rPr>
              <w:t>– Student was active in discussions made some valuable contributions, but the contributions were not noteworthy or did not include sufficient insights, material, and/or references.</w:t>
            </w:r>
          </w:p>
        </w:tc>
      </w:tr>
      <w:tr w:rsidR="00336443" w:rsidRPr="005E5E16" w14:paraId="7859B1B8" w14:textId="77777777" w:rsidTr="0034072E">
        <w:trPr>
          <w:tblCellSpacing w:w="0" w:type="dxa"/>
          <w:jc w:val="center"/>
        </w:trPr>
        <w:tc>
          <w:tcPr>
            <w:tcW w:w="295" w:type="pct"/>
            <w:tcBorders>
              <w:top w:val="outset" w:sz="6" w:space="0" w:color="auto"/>
              <w:left w:val="outset" w:sz="6" w:space="0" w:color="auto"/>
              <w:bottom w:val="outset" w:sz="6" w:space="0" w:color="auto"/>
              <w:right w:val="outset" w:sz="6" w:space="0" w:color="auto"/>
            </w:tcBorders>
            <w:hideMark/>
          </w:tcPr>
          <w:p w14:paraId="3E40418F" w14:textId="4C7874FA" w:rsidR="00336443" w:rsidRPr="005E5E16" w:rsidRDefault="00947E31" w:rsidP="0034072E">
            <w:pPr>
              <w:keepNext/>
              <w:keepLines/>
              <w:jc w:val="center"/>
              <w:rPr>
                <w:sz w:val="21"/>
                <w:szCs w:val="21"/>
              </w:rPr>
            </w:pPr>
            <w:r>
              <w:rPr>
                <w:sz w:val="21"/>
                <w:szCs w:val="21"/>
              </w:rPr>
              <w:t>40</w:t>
            </w:r>
            <w:r w:rsidR="00336443" w:rsidRPr="005E5E16">
              <w:rPr>
                <w:sz w:val="21"/>
                <w:szCs w:val="21"/>
              </w:rPr>
              <w:t>%</w:t>
            </w:r>
          </w:p>
        </w:tc>
        <w:tc>
          <w:tcPr>
            <w:tcW w:w="4705" w:type="pct"/>
            <w:tcBorders>
              <w:top w:val="outset" w:sz="6" w:space="0" w:color="auto"/>
              <w:left w:val="outset" w:sz="6" w:space="0" w:color="auto"/>
              <w:bottom w:val="outset" w:sz="6" w:space="0" w:color="auto"/>
              <w:right w:val="outset" w:sz="6" w:space="0" w:color="auto"/>
            </w:tcBorders>
            <w:hideMark/>
          </w:tcPr>
          <w:p w14:paraId="421FE41D" w14:textId="77777777" w:rsidR="00336443" w:rsidRPr="005E5E16" w:rsidRDefault="00336443" w:rsidP="0034072E">
            <w:pPr>
              <w:keepNext/>
              <w:keepLines/>
              <w:ind w:left="118"/>
              <w:rPr>
                <w:sz w:val="21"/>
                <w:szCs w:val="21"/>
              </w:rPr>
            </w:pPr>
            <w:r w:rsidRPr="005E5E16">
              <w:rPr>
                <w:b/>
                <w:bCs/>
                <w:iCs/>
                <w:sz w:val="21"/>
                <w:szCs w:val="21"/>
              </w:rPr>
              <w:t>Acceptable Participation – Met both of these conditions:</w:t>
            </w:r>
          </w:p>
          <w:p w14:paraId="5C7F0C38" w14:textId="77777777" w:rsidR="00336443" w:rsidRPr="005E5E16" w:rsidRDefault="00336443" w:rsidP="00336443">
            <w:pPr>
              <w:keepNext/>
              <w:keepLines/>
              <w:numPr>
                <w:ilvl w:val="0"/>
                <w:numId w:val="27"/>
              </w:numPr>
              <w:ind w:left="388" w:hanging="180"/>
              <w:rPr>
                <w:sz w:val="21"/>
                <w:szCs w:val="21"/>
              </w:rPr>
            </w:pPr>
            <w:r w:rsidRPr="005E5E16">
              <w:rPr>
                <w:sz w:val="21"/>
                <w:szCs w:val="21"/>
              </w:rPr>
              <w:t xml:space="preserve">Submitted own initial contribution for a selected discussion topic and responded to three or more other students. </w:t>
            </w:r>
          </w:p>
          <w:p w14:paraId="11049876" w14:textId="77777777" w:rsidR="00336443" w:rsidRPr="005E5E16" w:rsidRDefault="00336443" w:rsidP="00336443">
            <w:pPr>
              <w:keepNext/>
              <w:keepLines/>
              <w:numPr>
                <w:ilvl w:val="0"/>
                <w:numId w:val="28"/>
              </w:numPr>
              <w:ind w:left="388" w:hanging="180"/>
              <w:rPr>
                <w:sz w:val="21"/>
                <w:szCs w:val="21"/>
              </w:rPr>
            </w:pPr>
            <w:r w:rsidRPr="005E5E16">
              <w:rPr>
                <w:bCs/>
                <w:iCs/>
                <w:sz w:val="21"/>
                <w:szCs w:val="21"/>
              </w:rPr>
              <w:t xml:space="preserve">Low Level quality </w:t>
            </w:r>
            <w:r w:rsidRPr="005E5E16">
              <w:rPr>
                <w:sz w:val="21"/>
                <w:szCs w:val="21"/>
              </w:rPr>
              <w:t>– Student participated in discussions made contributions, but the contributions did not add value to the discussion or did not include sufficient insights, material, and/or references.</w:t>
            </w:r>
          </w:p>
        </w:tc>
      </w:tr>
      <w:tr w:rsidR="00336443" w:rsidRPr="005E5E16" w14:paraId="18B2A3B1" w14:textId="77777777" w:rsidTr="0034072E">
        <w:trPr>
          <w:tblCellSpacing w:w="0" w:type="dxa"/>
          <w:jc w:val="center"/>
        </w:trPr>
        <w:tc>
          <w:tcPr>
            <w:tcW w:w="295" w:type="pct"/>
            <w:tcBorders>
              <w:top w:val="outset" w:sz="6" w:space="0" w:color="auto"/>
              <w:left w:val="outset" w:sz="6" w:space="0" w:color="auto"/>
              <w:bottom w:val="outset" w:sz="6" w:space="0" w:color="auto"/>
              <w:right w:val="outset" w:sz="6" w:space="0" w:color="auto"/>
            </w:tcBorders>
            <w:hideMark/>
          </w:tcPr>
          <w:p w14:paraId="2403CB4B" w14:textId="7ACBCECF" w:rsidR="00336443" w:rsidRPr="005E5E16" w:rsidRDefault="00947E31" w:rsidP="0034072E">
            <w:pPr>
              <w:keepNext/>
              <w:keepLines/>
              <w:jc w:val="center"/>
              <w:rPr>
                <w:sz w:val="21"/>
                <w:szCs w:val="21"/>
              </w:rPr>
            </w:pPr>
            <w:r>
              <w:rPr>
                <w:sz w:val="21"/>
                <w:szCs w:val="21"/>
              </w:rPr>
              <w:t>2</w:t>
            </w:r>
            <w:r w:rsidR="00336443" w:rsidRPr="005E5E16">
              <w:rPr>
                <w:sz w:val="21"/>
                <w:szCs w:val="21"/>
              </w:rPr>
              <w:t>0%</w:t>
            </w:r>
          </w:p>
        </w:tc>
        <w:tc>
          <w:tcPr>
            <w:tcW w:w="4705" w:type="pct"/>
            <w:tcBorders>
              <w:top w:val="outset" w:sz="6" w:space="0" w:color="auto"/>
              <w:left w:val="outset" w:sz="6" w:space="0" w:color="auto"/>
              <w:bottom w:val="outset" w:sz="6" w:space="0" w:color="auto"/>
              <w:right w:val="outset" w:sz="6" w:space="0" w:color="auto"/>
            </w:tcBorders>
            <w:hideMark/>
          </w:tcPr>
          <w:p w14:paraId="409AC201" w14:textId="77777777" w:rsidR="00336443" w:rsidRPr="005E5E16" w:rsidRDefault="00336443" w:rsidP="0034072E">
            <w:pPr>
              <w:keepNext/>
              <w:keepLines/>
              <w:ind w:left="118"/>
              <w:rPr>
                <w:sz w:val="21"/>
                <w:szCs w:val="21"/>
              </w:rPr>
            </w:pPr>
            <w:r w:rsidRPr="005E5E16">
              <w:rPr>
                <w:b/>
                <w:bCs/>
                <w:iCs/>
                <w:sz w:val="21"/>
                <w:szCs w:val="21"/>
              </w:rPr>
              <w:t>Minimal Participation – Met both of these conditions:</w:t>
            </w:r>
          </w:p>
          <w:p w14:paraId="0C117E54" w14:textId="77777777" w:rsidR="00336443" w:rsidRPr="005E5E16" w:rsidRDefault="00336443" w:rsidP="00336443">
            <w:pPr>
              <w:keepNext/>
              <w:keepLines/>
              <w:numPr>
                <w:ilvl w:val="0"/>
                <w:numId w:val="29"/>
              </w:numPr>
              <w:ind w:left="388" w:hanging="180"/>
              <w:rPr>
                <w:sz w:val="21"/>
                <w:szCs w:val="21"/>
              </w:rPr>
            </w:pPr>
            <w:r w:rsidRPr="005E5E16">
              <w:rPr>
                <w:sz w:val="21"/>
                <w:szCs w:val="21"/>
              </w:rPr>
              <w:t xml:space="preserve">Submitted own initial contribution for a selected discussion topic but did not respond to two or more other students. </w:t>
            </w:r>
          </w:p>
          <w:p w14:paraId="16280774" w14:textId="77777777" w:rsidR="00336443" w:rsidRPr="005E5E16" w:rsidRDefault="00336443" w:rsidP="00336443">
            <w:pPr>
              <w:keepNext/>
              <w:keepLines/>
              <w:numPr>
                <w:ilvl w:val="0"/>
                <w:numId w:val="29"/>
              </w:numPr>
              <w:ind w:left="388" w:hanging="180"/>
              <w:rPr>
                <w:sz w:val="21"/>
                <w:szCs w:val="21"/>
              </w:rPr>
            </w:pPr>
            <w:r w:rsidRPr="005E5E16">
              <w:rPr>
                <w:bCs/>
                <w:iCs/>
                <w:sz w:val="21"/>
                <w:szCs w:val="21"/>
              </w:rPr>
              <w:t xml:space="preserve">Minimal quality </w:t>
            </w:r>
            <w:r w:rsidRPr="005E5E16">
              <w:rPr>
                <w:sz w:val="21"/>
                <w:szCs w:val="21"/>
              </w:rPr>
              <w:t>– Student participated in some discussions made irrelevant or incorrect contributions, contributions did not include sufficient insights, material, and/or references.</w:t>
            </w:r>
          </w:p>
        </w:tc>
      </w:tr>
      <w:tr w:rsidR="00336443" w:rsidRPr="005E5E16" w14:paraId="6B4B7FD1" w14:textId="77777777" w:rsidTr="0034072E">
        <w:trPr>
          <w:trHeight w:val="323"/>
          <w:tblCellSpacing w:w="0" w:type="dxa"/>
          <w:jc w:val="center"/>
        </w:trPr>
        <w:tc>
          <w:tcPr>
            <w:tcW w:w="295" w:type="pct"/>
            <w:tcBorders>
              <w:top w:val="outset" w:sz="6" w:space="0" w:color="auto"/>
              <w:left w:val="outset" w:sz="6" w:space="0" w:color="auto"/>
              <w:bottom w:val="outset" w:sz="6" w:space="0" w:color="auto"/>
              <w:right w:val="outset" w:sz="6" w:space="0" w:color="auto"/>
            </w:tcBorders>
            <w:hideMark/>
          </w:tcPr>
          <w:p w14:paraId="183E79C5" w14:textId="77777777" w:rsidR="00336443" w:rsidRPr="005E5E16" w:rsidRDefault="00336443" w:rsidP="0034072E">
            <w:pPr>
              <w:keepNext/>
              <w:keepLines/>
              <w:jc w:val="center"/>
              <w:rPr>
                <w:sz w:val="21"/>
                <w:szCs w:val="21"/>
              </w:rPr>
            </w:pPr>
            <w:r w:rsidRPr="005E5E16">
              <w:rPr>
                <w:sz w:val="21"/>
                <w:szCs w:val="21"/>
              </w:rPr>
              <w:t>0%</w:t>
            </w:r>
          </w:p>
        </w:tc>
        <w:tc>
          <w:tcPr>
            <w:tcW w:w="4705" w:type="pct"/>
            <w:tcBorders>
              <w:top w:val="outset" w:sz="6" w:space="0" w:color="auto"/>
              <w:left w:val="outset" w:sz="6" w:space="0" w:color="auto"/>
              <w:bottom w:val="outset" w:sz="6" w:space="0" w:color="auto"/>
              <w:right w:val="outset" w:sz="6" w:space="0" w:color="auto"/>
            </w:tcBorders>
            <w:hideMark/>
          </w:tcPr>
          <w:p w14:paraId="2FD24472" w14:textId="77777777" w:rsidR="00336443" w:rsidRPr="005E5E16" w:rsidRDefault="00336443" w:rsidP="0034072E">
            <w:pPr>
              <w:keepNext/>
              <w:keepLines/>
              <w:ind w:left="118"/>
              <w:rPr>
                <w:sz w:val="21"/>
                <w:szCs w:val="21"/>
              </w:rPr>
            </w:pPr>
            <w:r w:rsidRPr="005E5E16">
              <w:rPr>
                <w:b/>
                <w:bCs/>
                <w:iCs/>
                <w:sz w:val="21"/>
                <w:szCs w:val="21"/>
              </w:rPr>
              <w:t>Inadequate Participation:</w:t>
            </w:r>
          </w:p>
          <w:p w14:paraId="3098A700" w14:textId="77777777" w:rsidR="00336443" w:rsidRPr="005E5E16" w:rsidRDefault="00336443" w:rsidP="00336443">
            <w:pPr>
              <w:keepNext/>
              <w:keepLines/>
              <w:numPr>
                <w:ilvl w:val="0"/>
                <w:numId w:val="29"/>
              </w:numPr>
              <w:ind w:left="388" w:hanging="180"/>
              <w:rPr>
                <w:sz w:val="21"/>
                <w:szCs w:val="21"/>
              </w:rPr>
            </w:pPr>
            <w:r w:rsidRPr="005E5E16">
              <w:rPr>
                <w:sz w:val="21"/>
                <w:szCs w:val="21"/>
              </w:rPr>
              <w:t>Did not participate in the discussion topic.</w:t>
            </w:r>
          </w:p>
        </w:tc>
      </w:tr>
    </w:tbl>
    <w:p w14:paraId="4A736671" w14:textId="77777777" w:rsidR="00336443" w:rsidRPr="00094D07" w:rsidRDefault="00336443" w:rsidP="00336443">
      <w:pPr>
        <w:tabs>
          <w:tab w:val="left" w:pos="821"/>
        </w:tabs>
        <w:spacing w:before="1"/>
        <w:ind w:right="753"/>
        <w:rPr>
          <w:sz w:val="10"/>
          <w:szCs w:val="10"/>
          <w:u w:val="single"/>
        </w:rPr>
      </w:pPr>
    </w:p>
    <w:p w14:paraId="78F56A16" w14:textId="57498F28" w:rsidR="00C01F6C" w:rsidRDefault="00C01F6C" w:rsidP="00C01F6C">
      <w:pPr>
        <w:numPr>
          <w:ilvl w:val="0"/>
          <w:numId w:val="4"/>
        </w:numPr>
      </w:pPr>
      <w:r>
        <w:t xml:space="preserve">Note: When posting to the discussion area, please enter your comments directly into the discussion board. </w:t>
      </w:r>
      <w:r w:rsidRPr="00E91310">
        <w:rPr>
          <w:b/>
        </w:rPr>
        <w:t>Do not attach</w:t>
      </w:r>
      <w:r>
        <w:t xml:space="preserve"> </w:t>
      </w:r>
      <w:r w:rsidRPr="00E91310">
        <w:rPr>
          <w:b/>
        </w:rPr>
        <w:t>documents</w:t>
      </w:r>
      <w:r>
        <w:t xml:space="preserve"> to the discussion board unless instructed, as this method is difficult for some students to access. </w:t>
      </w:r>
    </w:p>
    <w:p w14:paraId="0A5EBBAA" w14:textId="77777777" w:rsidR="00C01F6C" w:rsidRDefault="00C01F6C" w:rsidP="00C01F6C">
      <w:pPr>
        <w:pStyle w:val="ListParagraph"/>
        <w:ind w:left="720"/>
      </w:pPr>
    </w:p>
    <w:p w14:paraId="484BCB2C" w14:textId="3ADA99F5" w:rsidR="00C01F6C" w:rsidRDefault="00C01F6C" w:rsidP="00C01F6C">
      <w:r>
        <w:t xml:space="preserve">A word about Discussion/conversation: </w:t>
      </w:r>
    </w:p>
    <w:p w14:paraId="1EBE26B6" w14:textId="77777777" w:rsidR="00C01F6C" w:rsidRDefault="00C01F6C" w:rsidP="00C01F6C">
      <w:pPr>
        <w:pStyle w:val="ListParagraph"/>
        <w:ind w:left="720"/>
      </w:pPr>
    </w:p>
    <w:p w14:paraId="7FDFD1C8" w14:textId="20EB1D0D" w:rsidR="00C01F6C" w:rsidRDefault="00C01F6C" w:rsidP="00C01F6C">
      <w:pPr>
        <w:pStyle w:val="ListParagraph"/>
        <w:numPr>
          <w:ilvl w:val="0"/>
          <w:numId w:val="4"/>
        </w:numPr>
      </w:pPr>
      <w:r>
        <w:t xml:space="preserve">Participants must be clear about what they mean in their contributions to the discussion. In electronic communication, we do not have the advantage of body language as an aid in communication. We also do not have the advantage of instantly asking for and receiving clarification. Finally, in addition to using appropriate grammar, spelling, syntax, etc., always contribute to class discussion in a respectful, polite, and constructive manner. </w:t>
      </w:r>
    </w:p>
    <w:p w14:paraId="487FD24D" w14:textId="77777777" w:rsidR="00C01F6C" w:rsidRDefault="00C01F6C" w:rsidP="00C01F6C">
      <w:pPr>
        <w:pStyle w:val="ListParagraph"/>
        <w:ind w:left="720"/>
      </w:pPr>
    </w:p>
    <w:p w14:paraId="6AB3BC7F" w14:textId="77777777" w:rsidR="00C01F6C" w:rsidRDefault="00C01F6C" w:rsidP="00C01F6C">
      <w:pPr>
        <w:pStyle w:val="ListParagraph"/>
        <w:numPr>
          <w:ilvl w:val="0"/>
          <w:numId w:val="4"/>
        </w:numPr>
      </w:pPr>
      <w:r>
        <w:t xml:space="preserve">Please also note that all chat room languages are prohibited in the discussion board, these include writings in the form of “lol”, “how r u?” etc. If you do need to use the </w:t>
      </w:r>
      <w:r>
        <w:lastRenderedPageBreak/>
        <w:t>expressions, spell them out as “laugh aloud” or “how are you?”</w:t>
      </w:r>
    </w:p>
    <w:p w14:paraId="3C05DF14" w14:textId="77777777" w:rsidR="00C01F6C" w:rsidRDefault="00C01F6C" w:rsidP="00C01F6C">
      <w:pPr>
        <w:ind w:left="720"/>
      </w:pPr>
    </w:p>
    <w:p w14:paraId="5DB54CB8" w14:textId="77777777" w:rsidR="00336443" w:rsidRDefault="00336443" w:rsidP="00336443">
      <w:pPr>
        <w:tabs>
          <w:tab w:val="left" w:pos="821"/>
        </w:tabs>
        <w:spacing w:before="1"/>
        <w:ind w:right="753"/>
        <w:jc w:val="center"/>
        <w:rPr>
          <w:b/>
          <w:bCs/>
        </w:rPr>
      </w:pPr>
    </w:p>
    <w:p w14:paraId="6083E388" w14:textId="1B5B1813" w:rsidR="005F147E" w:rsidRDefault="008016BD" w:rsidP="00213060">
      <w:pPr>
        <w:pStyle w:val="BodyText"/>
        <w:spacing w:line="360" w:lineRule="auto"/>
        <w:jc w:val="center"/>
        <w:rPr>
          <w:rFonts w:ascii="Times New Roman" w:hAnsi="Times New Roman"/>
          <w:b/>
          <w:sz w:val="24"/>
          <w:szCs w:val="24"/>
        </w:rPr>
      </w:pPr>
      <w:r>
        <w:rPr>
          <w:rFonts w:ascii="Times New Roman" w:hAnsi="Times New Roman"/>
          <w:b/>
          <w:sz w:val="24"/>
          <w:szCs w:val="24"/>
        </w:rPr>
        <w:t xml:space="preserve"> </w:t>
      </w:r>
    </w:p>
    <w:p w14:paraId="53DF0318" w14:textId="56B261E4" w:rsidR="00213060" w:rsidRPr="00EC41A7" w:rsidRDefault="00213060" w:rsidP="00213060">
      <w:pPr>
        <w:pStyle w:val="BodyText"/>
        <w:spacing w:line="360" w:lineRule="auto"/>
        <w:jc w:val="center"/>
        <w:rPr>
          <w:rFonts w:ascii="Times New Roman" w:hAnsi="Times New Roman"/>
          <w:b/>
          <w:sz w:val="24"/>
          <w:szCs w:val="24"/>
        </w:rPr>
      </w:pPr>
      <w:r w:rsidRPr="00EC41A7">
        <w:rPr>
          <w:rFonts w:ascii="Times New Roman" w:hAnsi="Times New Roman"/>
          <w:b/>
          <w:sz w:val="24"/>
          <w:szCs w:val="24"/>
        </w:rPr>
        <w:t>Case Stud</w:t>
      </w:r>
      <w:r w:rsidR="00336443">
        <w:rPr>
          <w:rFonts w:ascii="Times New Roman" w:hAnsi="Times New Roman" w:hint="eastAsia"/>
          <w:b/>
          <w:sz w:val="24"/>
          <w:szCs w:val="24"/>
          <w:lang w:eastAsia="zh-CN"/>
        </w:rPr>
        <w:t>ie</w:t>
      </w:r>
      <w:r w:rsidR="00336443">
        <w:rPr>
          <w:rFonts w:ascii="Times New Roman" w:hAnsi="Times New Roman"/>
          <w:b/>
          <w:sz w:val="24"/>
          <w:szCs w:val="24"/>
          <w:lang w:eastAsia="zh-CN"/>
        </w:rPr>
        <w:t>s (30%)</w:t>
      </w:r>
    </w:p>
    <w:p w14:paraId="2D8695C6" w14:textId="77777777" w:rsidR="002E5D26" w:rsidRDefault="002E5D26" w:rsidP="00213060">
      <w:pPr>
        <w:pStyle w:val="BodyText"/>
        <w:spacing w:line="360" w:lineRule="auto"/>
        <w:ind w:firstLine="720"/>
        <w:rPr>
          <w:rFonts w:ascii="Times New Roman" w:hAnsi="Times New Roman"/>
          <w:sz w:val="24"/>
          <w:szCs w:val="24"/>
        </w:rPr>
      </w:pPr>
    </w:p>
    <w:p w14:paraId="59F6B6C3" w14:textId="59F38DFF" w:rsidR="00394B8A" w:rsidRDefault="00394B8A" w:rsidP="00394B8A">
      <w:pPr>
        <w:pStyle w:val="BodyText"/>
        <w:spacing w:line="360" w:lineRule="auto"/>
        <w:ind w:firstLine="720"/>
        <w:rPr>
          <w:rFonts w:ascii="Times New Roman" w:hAnsi="Times New Roman"/>
          <w:sz w:val="24"/>
          <w:szCs w:val="24"/>
        </w:rPr>
      </w:pPr>
      <w:r>
        <w:rPr>
          <w:rFonts w:ascii="Times New Roman" w:hAnsi="Times New Roman"/>
          <w:sz w:val="24"/>
          <w:szCs w:val="24"/>
        </w:rPr>
        <w:t xml:space="preserve">Consulting is a hands-on business practice requiring extensive experience and practice. Therefore, this class will take advantage of case studies in combination with other projects to build your skills in this area. Throughout the learning process, we will analyze 2 cases for learning purposes. Students are expected to 1. conduct individual case analysis: For each case, students need to analyze the case and develop solutions based on questions at the end of each case. And 2. Submit your case analysis to the designed submission link by the due date. More details can be found in the case study instructions in the Syllabus module. </w:t>
      </w:r>
    </w:p>
    <w:p w14:paraId="2D502232" w14:textId="35166B35" w:rsidR="00573B3B" w:rsidRDefault="00394B8A" w:rsidP="00394B8A">
      <w:pPr>
        <w:pStyle w:val="BodyText"/>
        <w:spacing w:line="360" w:lineRule="auto"/>
        <w:rPr>
          <w:b/>
          <w:bCs/>
        </w:rPr>
      </w:pPr>
      <w:r>
        <w:rPr>
          <w:rFonts w:ascii="Times New Roman" w:hAnsi="Times New Roman"/>
          <w:sz w:val="24"/>
          <w:szCs w:val="24"/>
        </w:rPr>
        <w:t xml:space="preserve">  </w:t>
      </w:r>
    </w:p>
    <w:p w14:paraId="601A4170" w14:textId="77777777" w:rsidR="0096679D" w:rsidRDefault="0096679D" w:rsidP="00361A96">
      <w:pPr>
        <w:jc w:val="center"/>
        <w:rPr>
          <w:b/>
          <w:bCs/>
        </w:rPr>
      </w:pPr>
    </w:p>
    <w:p w14:paraId="2C6F2F86" w14:textId="6BF7E48F" w:rsidR="00361A96" w:rsidRPr="00005F6A" w:rsidRDefault="005F147E" w:rsidP="00361A96">
      <w:pPr>
        <w:spacing w:line="360" w:lineRule="auto"/>
        <w:jc w:val="center"/>
        <w:rPr>
          <w:b/>
          <w:bCs/>
        </w:rPr>
      </w:pPr>
      <w:r>
        <w:rPr>
          <w:b/>
          <w:bCs/>
        </w:rPr>
        <w:t xml:space="preserve"> </w:t>
      </w:r>
      <w:r w:rsidR="00361A96" w:rsidRPr="00005F6A">
        <w:rPr>
          <w:b/>
          <w:bCs/>
        </w:rPr>
        <w:t xml:space="preserve">Major </w:t>
      </w:r>
      <w:r w:rsidR="00AB3230">
        <w:rPr>
          <w:b/>
          <w:bCs/>
        </w:rPr>
        <w:t xml:space="preserve">Team </w:t>
      </w:r>
      <w:r w:rsidR="00361A96" w:rsidRPr="00005F6A">
        <w:rPr>
          <w:b/>
          <w:bCs/>
        </w:rPr>
        <w:t>Project: Consulting Proposal</w:t>
      </w:r>
      <w:r w:rsidR="00336443">
        <w:rPr>
          <w:b/>
          <w:bCs/>
        </w:rPr>
        <w:t xml:space="preserve"> (</w:t>
      </w:r>
      <w:r w:rsidR="008016BD">
        <w:rPr>
          <w:b/>
          <w:bCs/>
        </w:rPr>
        <w:t>30</w:t>
      </w:r>
      <w:r w:rsidR="00336443">
        <w:rPr>
          <w:b/>
          <w:bCs/>
        </w:rPr>
        <w:t>%)</w:t>
      </w:r>
    </w:p>
    <w:p w14:paraId="407EF741" w14:textId="77777777" w:rsidR="00361A96" w:rsidRPr="00005F6A" w:rsidRDefault="00361A96" w:rsidP="00361A96">
      <w:pPr>
        <w:spacing w:line="360" w:lineRule="auto"/>
        <w:jc w:val="center"/>
      </w:pPr>
    </w:p>
    <w:p w14:paraId="75384447" w14:textId="02938767" w:rsidR="00361A96" w:rsidRPr="00005F6A" w:rsidRDefault="00361A96" w:rsidP="00336443">
      <w:pPr>
        <w:spacing w:line="360" w:lineRule="auto"/>
        <w:ind w:left="2160" w:hanging="2160"/>
      </w:pPr>
      <w:r w:rsidRPr="00005F6A">
        <w:rPr>
          <w:b/>
          <w:bCs/>
        </w:rPr>
        <w:t>Due</w:t>
      </w:r>
      <w:r w:rsidRPr="00005F6A">
        <w:t>:</w:t>
      </w:r>
      <w:r w:rsidR="00AB3230">
        <w:t xml:space="preserve"> </w:t>
      </w:r>
      <w:r w:rsidR="009B6B7E">
        <w:t xml:space="preserve">April </w:t>
      </w:r>
      <w:r w:rsidR="008016BD">
        <w:t>1</w:t>
      </w:r>
      <w:r w:rsidR="001F2AE9">
        <w:t>8</w:t>
      </w:r>
    </w:p>
    <w:p w14:paraId="0AA03F6C" w14:textId="77777777" w:rsidR="00361A96" w:rsidRPr="00005F6A" w:rsidRDefault="00361A96" w:rsidP="00361A96">
      <w:pPr>
        <w:spacing w:line="360" w:lineRule="auto"/>
        <w:ind w:left="2160" w:hanging="2160"/>
      </w:pPr>
      <w:r w:rsidRPr="00970706">
        <w:rPr>
          <w:b/>
          <w:bCs/>
          <w:i/>
          <w:iCs/>
        </w:rPr>
        <w:t>Requirements</w:t>
      </w:r>
      <w:r w:rsidRPr="00005F6A">
        <w:t>:</w:t>
      </w:r>
      <w:r w:rsidRPr="00005F6A">
        <w:tab/>
      </w:r>
    </w:p>
    <w:p w14:paraId="40ADCDCD" w14:textId="3E348433" w:rsidR="00361A96" w:rsidRPr="00B12C30" w:rsidRDefault="00475887" w:rsidP="00475887">
      <w:pPr>
        <w:spacing w:line="360" w:lineRule="auto"/>
        <w:rPr>
          <w:b/>
        </w:rPr>
      </w:pPr>
      <w:r>
        <w:tab/>
      </w:r>
      <w:r w:rsidR="00B938D9">
        <w:t>Working with a team, d</w:t>
      </w:r>
      <w:r>
        <w:t xml:space="preserve">evelop a consulting proposal or consulting report in a </w:t>
      </w:r>
      <w:r w:rsidR="0098195D">
        <w:t>real-world</w:t>
      </w:r>
      <w:r>
        <w:t xml:space="preserve"> organization</w:t>
      </w:r>
      <w:r w:rsidR="00AB3230">
        <w:t xml:space="preserve"> as a team</w:t>
      </w:r>
      <w:r>
        <w:t xml:space="preserve">. </w:t>
      </w:r>
      <w:r w:rsidR="00B0149B" w:rsidRPr="000125C7">
        <w:rPr>
          <w:b/>
          <w:bCs/>
        </w:rPr>
        <w:t xml:space="preserve">Any student who decides to write the consulting project individually instead of working in a team needs to email the instructor at </w:t>
      </w:r>
      <w:hyperlink r:id="rId7" w:history="1">
        <w:r w:rsidR="00B0149B" w:rsidRPr="000125C7">
          <w:rPr>
            <w:rStyle w:val="Hyperlink"/>
            <w:b/>
            <w:bCs/>
          </w:rPr>
          <w:t>jsun@uttyler.edu</w:t>
        </w:r>
      </w:hyperlink>
      <w:r w:rsidR="00B0149B" w:rsidRPr="000125C7">
        <w:rPr>
          <w:b/>
          <w:bCs/>
        </w:rPr>
        <w:t xml:space="preserve"> before Jan. 3</w:t>
      </w:r>
      <w:r w:rsidR="000125C7" w:rsidRPr="000125C7">
        <w:rPr>
          <w:b/>
          <w:bCs/>
        </w:rPr>
        <w:t>0</w:t>
      </w:r>
      <w:r w:rsidR="00B0149B" w:rsidRPr="000125C7">
        <w:rPr>
          <w:b/>
          <w:bCs/>
        </w:rPr>
        <w:t>.</w:t>
      </w:r>
      <w:r w:rsidR="00B0149B">
        <w:t xml:space="preserve"> </w:t>
      </w:r>
      <w:r w:rsidR="00B12C30" w:rsidRPr="00B12C30">
        <w:rPr>
          <w:b/>
        </w:rPr>
        <w:t xml:space="preserve">Any student </w:t>
      </w:r>
      <w:r w:rsidR="0098195D">
        <w:rPr>
          <w:b/>
        </w:rPr>
        <w:t xml:space="preserve">who </w:t>
      </w:r>
      <w:r w:rsidR="00B12C30" w:rsidRPr="00B12C30">
        <w:rPr>
          <w:b/>
        </w:rPr>
        <w:t>fails to participate in the final project will automatically fail this class.</w:t>
      </w:r>
    </w:p>
    <w:p w14:paraId="66BD1AD2" w14:textId="609EB89B" w:rsidR="002F2A02" w:rsidRDefault="00361A96" w:rsidP="00AB3230">
      <w:pPr>
        <w:spacing w:line="360" w:lineRule="auto"/>
        <w:ind w:left="990" w:hanging="270"/>
      </w:pPr>
      <w:r w:rsidRPr="00005F6A">
        <w:t xml:space="preserve">1. </w:t>
      </w:r>
      <w:r w:rsidR="002F2A02">
        <w:t>T</w:t>
      </w:r>
      <w:r w:rsidRPr="00005F6A">
        <w:t>he final report should be at least 1</w:t>
      </w:r>
      <w:r w:rsidR="00A37DBF">
        <w:t>5</w:t>
      </w:r>
      <w:r w:rsidRPr="00005F6A">
        <w:t xml:space="preserve"> double-spaced, </w:t>
      </w:r>
      <w:r w:rsidR="00696B14">
        <w:t xml:space="preserve">1” margin on all sides with </w:t>
      </w:r>
      <w:r w:rsidR="00A37DBF">
        <w:t>12</w:t>
      </w:r>
      <w:r w:rsidR="00696B14">
        <w:t xml:space="preserve"> font </w:t>
      </w:r>
      <w:r w:rsidR="0098195D">
        <w:t>size. It should refer</w:t>
      </w:r>
      <w:r w:rsidRPr="00005F6A">
        <w:t xml:space="preserve"> </w:t>
      </w:r>
      <w:r w:rsidR="003D43A2">
        <w:t xml:space="preserve">to </w:t>
      </w:r>
      <w:r w:rsidRPr="00005F6A">
        <w:t>at least 5 references from journals</w:t>
      </w:r>
      <w:r w:rsidR="003D43A2">
        <w:t xml:space="preserve"> and</w:t>
      </w:r>
      <w:r w:rsidRPr="00005F6A">
        <w:t xml:space="preserve"> books written in the past 10 years</w:t>
      </w:r>
      <w:r w:rsidR="00A37DBF">
        <w:t xml:space="preserve"> (references are included in the 15 pages)</w:t>
      </w:r>
      <w:r w:rsidRPr="00005F6A">
        <w:t xml:space="preserve">.  </w:t>
      </w:r>
    </w:p>
    <w:p w14:paraId="7FBAD2F6" w14:textId="12836DC2" w:rsidR="00361A96" w:rsidRPr="00005F6A" w:rsidRDefault="00AB3230" w:rsidP="004A30B9">
      <w:pPr>
        <w:spacing w:line="360" w:lineRule="auto"/>
        <w:ind w:left="990" w:hanging="270"/>
      </w:pPr>
      <w:r>
        <w:t>2</w:t>
      </w:r>
      <w:r w:rsidR="002F2A02">
        <w:t xml:space="preserve">. </w:t>
      </w:r>
      <w:r w:rsidR="00E045F8">
        <w:t xml:space="preserve">One team member </w:t>
      </w:r>
      <w:r w:rsidR="00970706">
        <w:t>needs to upload the</w:t>
      </w:r>
      <w:r w:rsidR="00E045F8">
        <w:t xml:space="preserve"> final project to the </w:t>
      </w:r>
      <w:r w:rsidR="00970706">
        <w:t>designated submission link under assignments before the deadline, April 2</w:t>
      </w:r>
      <w:r w:rsidR="000125C7">
        <w:t>3</w:t>
      </w:r>
      <w:r w:rsidR="00970706">
        <w:t>. No</w:t>
      </w:r>
      <w:r w:rsidR="002F2A02">
        <w:t xml:space="preserve"> late submission will be accepted.</w:t>
      </w:r>
    </w:p>
    <w:p w14:paraId="3D3C1E0E" w14:textId="200C52C3" w:rsidR="00361A96" w:rsidRPr="00005F6A" w:rsidRDefault="00361A96" w:rsidP="00361A96">
      <w:pPr>
        <w:pStyle w:val="Heading5"/>
        <w:spacing w:line="360" w:lineRule="auto"/>
        <w:rPr>
          <w:rFonts w:ascii="Times New Roman" w:hAnsi="Times New Roman"/>
          <w:sz w:val="24"/>
          <w:szCs w:val="24"/>
        </w:rPr>
      </w:pPr>
      <w:r w:rsidRPr="00005F6A">
        <w:rPr>
          <w:rFonts w:ascii="Times New Roman" w:hAnsi="Times New Roman"/>
          <w:sz w:val="24"/>
          <w:szCs w:val="24"/>
        </w:rPr>
        <w:t>Assignment</w:t>
      </w:r>
      <w:r w:rsidR="00970706">
        <w:rPr>
          <w:rFonts w:ascii="Times New Roman" w:hAnsi="Times New Roman"/>
          <w:sz w:val="24"/>
          <w:szCs w:val="24"/>
        </w:rPr>
        <w:t xml:space="preserve"> details:</w:t>
      </w:r>
    </w:p>
    <w:p w14:paraId="4659CE23" w14:textId="5AF3449F" w:rsidR="00361A96" w:rsidRPr="00005F6A" w:rsidRDefault="00361A96" w:rsidP="00361A96">
      <w:pPr>
        <w:spacing w:line="360" w:lineRule="auto"/>
      </w:pPr>
      <w:r w:rsidRPr="00005F6A">
        <w:t>To complete this project, you must identify an organization and conduct a performance</w:t>
      </w:r>
      <w:r w:rsidR="002F0A0D">
        <w:t xml:space="preserve"> and/or </w:t>
      </w:r>
      <w:r w:rsidR="0098195D">
        <w:t>management-related</w:t>
      </w:r>
      <w:r w:rsidRPr="00005F6A">
        <w:t xml:space="preserve"> consulting project. </w:t>
      </w:r>
    </w:p>
    <w:p w14:paraId="7E45E064" w14:textId="77777777" w:rsidR="00361A96" w:rsidRPr="00005F6A" w:rsidRDefault="00361A96" w:rsidP="00361A96">
      <w:pPr>
        <w:spacing w:line="360" w:lineRule="auto"/>
      </w:pPr>
      <w:r w:rsidRPr="00005F6A">
        <w:t xml:space="preserve">The report should include, but </w:t>
      </w:r>
      <w:r w:rsidR="003E7405">
        <w:t xml:space="preserve">is </w:t>
      </w:r>
      <w:r w:rsidRPr="00005F6A">
        <w:t>not limited to, the following content:</w:t>
      </w:r>
    </w:p>
    <w:p w14:paraId="59BE47B3" w14:textId="57BD5EB9" w:rsidR="00361A96" w:rsidRPr="00005F6A" w:rsidRDefault="00361A96" w:rsidP="001850D1">
      <w:pPr>
        <w:numPr>
          <w:ilvl w:val="0"/>
          <w:numId w:val="20"/>
        </w:numPr>
        <w:spacing w:line="360" w:lineRule="auto"/>
      </w:pPr>
      <w:r w:rsidRPr="00005F6A">
        <w:lastRenderedPageBreak/>
        <w:t>The background and context of the organization</w:t>
      </w:r>
      <w:r w:rsidR="00970706">
        <w:t xml:space="preserve">, and the market of the industry, such as information about major competitors in the industry. </w:t>
      </w:r>
    </w:p>
    <w:p w14:paraId="73D1831A" w14:textId="77777777" w:rsidR="00361A96" w:rsidRDefault="00361A96" w:rsidP="001850D1">
      <w:pPr>
        <w:numPr>
          <w:ilvl w:val="0"/>
          <w:numId w:val="20"/>
        </w:numPr>
        <w:spacing w:line="360" w:lineRule="auto"/>
      </w:pPr>
      <w:r w:rsidRPr="00005F6A">
        <w:t>The stated business problem(s) by the client</w:t>
      </w:r>
    </w:p>
    <w:p w14:paraId="479F7DEC" w14:textId="77777777" w:rsidR="001850D1" w:rsidRPr="00005F6A" w:rsidRDefault="001850D1" w:rsidP="001850D1">
      <w:pPr>
        <w:numPr>
          <w:ilvl w:val="0"/>
          <w:numId w:val="20"/>
        </w:numPr>
        <w:spacing w:line="360" w:lineRule="auto"/>
      </w:pPr>
      <w:r>
        <w:t>Your identified performance gap</w:t>
      </w:r>
    </w:p>
    <w:p w14:paraId="4CAE9BC7" w14:textId="77777777" w:rsidR="00475887" w:rsidRPr="00005F6A" w:rsidRDefault="00475887" w:rsidP="00475887">
      <w:pPr>
        <w:numPr>
          <w:ilvl w:val="0"/>
          <w:numId w:val="20"/>
        </w:numPr>
        <w:spacing w:line="360" w:lineRule="auto"/>
      </w:pPr>
      <w:r w:rsidRPr="00005F6A">
        <w:t xml:space="preserve">Your proposed </w:t>
      </w:r>
      <w:r w:rsidR="003E7405">
        <w:t xml:space="preserve">solutions and </w:t>
      </w:r>
      <w:r w:rsidRPr="00005F6A">
        <w:t xml:space="preserve">process </w:t>
      </w:r>
      <w:r w:rsidR="001D24B4">
        <w:t>to</w:t>
      </w:r>
      <w:r w:rsidRPr="00005F6A">
        <w:t xml:space="preserve"> address the </w:t>
      </w:r>
      <w:r w:rsidR="001D24B4">
        <w:t>performance problems</w:t>
      </w:r>
    </w:p>
    <w:p w14:paraId="619B0159" w14:textId="77777777" w:rsidR="00475887" w:rsidRPr="00005F6A" w:rsidRDefault="00475887" w:rsidP="00475887">
      <w:pPr>
        <w:numPr>
          <w:ilvl w:val="0"/>
          <w:numId w:val="20"/>
        </w:numPr>
        <w:spacing w:line="360" w:lineRule="auto"/>
      </w:pPr>
      <w:r w:rsidRPr="00005F6A">
        <w:t xml:space="preserve">Your proposed </w:t>
      </w:r>
      <w:r w:rsidR="001D24B4">
        <w:t>other related</w:t>
      </w:r>
      <w:r w:rsidRPr="00005F6A">
        <w:t xml:space="preserve"> interventions, </w:t>
      </w:r>
      <w:r w:rsidR="003E7405">
        <w:t>based on</w:t>
      </w:r>
      <w:r w:rsidRPr="00005F6A">
        <w:t xml:space="preserve"> the data analysis outcomes.</w:t>
      </w:r>
    </w:p>
    <w:p w14:paraId="128FAE4B" w14:textId="77777777" w:rsidR="00361A96" w:rsidRPr="00005F6A" w:rsidRDefault="00361A96" w:rsidP="001850D1">
      <w:pPr>
        <w:numPr>
          <w:ilvl w:val="0"/>
          <w:numId w:val="20"/>
        </w:numPr>
        <w:spacing w:line="360" w:lineRule="auto"/>
      </w:pPr>
      <w:r w:rsidRPr="00005F6A">
        <w:t>The data sources for identifying and confirming the problem(s)</w:t>
      </w:r>
    </w:p>
    <w:p w14:paraId="2D1E297F" w14:textId="1164FB62" w:rsidR="00361A96" w:rsidRPr="00005F6A" w:rsidRDefault="00361A96" w:rsidP="001850D1">
      <w:pPr>
        <w:numPr>
          <w:ilvl w:val="1"/>
          <w:numId w:val="16"/>
        </w:numPr>
        <w:spacing w:line="360" w:lineRule="auto"/>
      </w:pPr>
      <w:r w:rsidRPr="00005F6A">
        <w:t xml:space="preserve">For quantitative data, </w:t>
      </w:r>
      <w:r w:rsidR="000125C7">
        <w:t>including</w:t>
      </w:r>
      <w:r w:rsidRPr="00005F6A">
        <w:t xml:space="preserve"> a sample survey or other data collection tools/</w:t>
      </w:r>
      <w:r w:rsidR="003E7405">
        <w:t>instrument</w:t>
      </w:r>
    </w:p>
    <w:p w14:paraId="792AB417" w14:textId="3307A906" w:rsidR="00361A96" w:rsidRPr="00005F6A" w:rsidRDefault="00361A96" w:rsidP="001850D1">
      <w:pPr>
        <w:numPr>
          <w:ilvl w:val="1"/>
          <w:numId w:val="16"/>
        </w:numPr>
        <w:spacing w:line="360" w:lineRule="auto"/>
      </w:pPr>
      <w:r w:rsidRPr="00005F6A">
        <w:t xml:space="preserve">For qualitative data, </w:t>
      </w:r>
      <w:r w:rsidR="000125C7">
        <w:t>including</w:t>
      </w:r>
      <w:r w:rsidRPr="00005F6A">
        <w:t xml:space="preserve"> interview/focus group questions and related supporting </w:t>
      </w:r>
      <w:r w:rsidR="000125C7">
        <w:t>documents</w:t>
      </w:r>
      <w:r w:rsidRPr="00005F6A">
        <w:t>, e.g., interview guidelines</w:t>
      </w:r>
      <w:r w:rsidR="00007FE8">
        <w:t xml:space="preserve"> or protocol</w:t>
      </w:r>
      <w:r w:rsidRPr="00005F6A">
        <w:t>, if necessary.</w:t>
      </w:r>
    </w:p>
    <w:p w14:paraId="764BD714" w14:textId="45909DE1" w:rsidR="00361A96" w:rsidRPr="00005F6A" w:rsidRDefault="004A5DCD" w:rsidP="001850D1">
      <w:pPr>
        <w:numPr>
          <w:ilvl w:val="1"/>
          <w:numId w:val="16"/>
        </w:numPr>
        <w:spacing w:line="360" w:lineRule="auto"/>
      </w:pPr>
      <w:r>
        <w:t xml:space="preserve">For extant data, </w:t>
      </w:r>
      <w:r w:rsidR="000125C7">
        <w:t>including</w:t>
      </w:r>
      <w:r w:rsidR="00361A96" w:rsidRPr="00005F6A">
        <w:t xml:space="preserve"> samples.</w:t>
      </w:r>
    </w:p>
    <w:p w14:paraId="56871CDD" w14:textId="2C315FA0" w:rsidR="00361A96" w:rsidRPr="00005F6A" w:rsidRDefault="00361A96" w:rsidP="001850D1">
      <w:pPr>
        <w:numPr>
          <w:ilvl w:val="0"/>
          <w:numId w:val="20"/>
        </w:numPr>
        <w:spacing w:line="360" w:lineRule="auto"/>
      </w:pPr>
      <w:r w:rsidRPr="00005F6A">
        <w:t xml:space="preserve">Your proposed timelines, milestones, </w:t>
      </w:r>
      <w:r w:rsidR="000125C7">
        <w:t xml:space="preserve">and </w:t>
      </w:r>
      <w:r w:rsidRPr="00005F6A">
        <w:t>deadlines.</w:t>
      </w:r>
    </w:p>
    <w:p w14:paraId="186B3B34" w14:textId="77777777" w:rsidR="00361A96" w:rsidRDefault="004A5DCD" w:rsidP="001850D1">
      <w:pPr>
        <w:numPr>
          <w:ilvl w:val="0"/>
          <w:numId w:val="20"/>
        </w:numPr>
        <w:spacing w:line="360" w:lineRule="auto"/>
      </w:pPr>
      <w:r>
        <w:t>Consulting outcomes or y</w:t>
      </w:r>
      <w:r w:rsidR="00361A96" w:rsidRPr="00005F6A">
        <w:t>our expected outcomes</w:t>
      </w:r>
    </w:p>
    <w:p w14:paraId="64CB0976" w14:textId="7466A370" w:rsidR="00361A96" w:rsidRPr="00005F6A" w:rsidRDefault="00196D75" w:rsidP="00196D75">
      <w:pPr>
        <w:numPr>
          <w:ilvl w:val="0"/>
          <w:numId w:val="20"/>
        </w:numPr>
        <w:spacing w:line="360" w:lineRule="auto"/>
      </w:pPr>
      <w:r>
        <w:t>As an exercise, you also need to include a mock consulting contract (no less than 1 page) that include</w:t>
      </w:r>
      <w:r w:rsidR="002E565C">
        <w:t>s</w:t>
      </w:r>
      <w:r>
        <w:t xml:space="preserve"> the scope of the project and y</w:t>
      </w:r>
      <w:r w:rsidR="00361A96" w:rsidRPr="00005F6A">
        <w:t xml:space="preserve">our </w:t>
      </w:r>
      <w:r w:rsidR="000125C7">
        <w:t>client-approved</w:t>
      </w:r>
      <w:r>
        <w:t xml:space="preserve"> </w:t>
      </w:r>
      <w:r w:rsidR="00361A96" w:rsidRPr="00005F6A">
        <w:t>budget.</w:t>
      </w:r>
    </w:p>
    <w:p w14:paraId="5C36F052" w14:textId="77777777" w:rsidR="00361A96" w:rsidRPr="00005F6A" w:rsidRDefault="00361A96" w:rsidP="00361A96">
      <w:pPr>
        <w:spacing w:line="360" w:lineRule="auto"/>
      </w:pPr>
    </w:p>
    <w:p w14:paraId="38D8CA79" w14:textId="2098E584" w:rsidR="00DF1D00" w:rsidRPr="00005F6A" w:rsidRDefault="00361A96" w:rsidP="00361A96">
      <w:pPr>
        <w:spacing w:line="360" w:lineRule="auto"/>
      </w:pPr>
      <w:r w:rsidRPr="00005F6A">
        <w:t xml:space="preserve">You can reasonably assume that your final report would be used as a base for the consulting contract upon approval </w:t>
      </w:r>
      <w:r w:rsidR="004A5DCD">
        <w:t>by</w:t>
      </w:r>
      <w:r w:rsidRPr="00005F6A">
        <w:t xml:space="preserve"> the client organization. </w:t>
      </w:r>
      <w:r w:rsidR="00DF1D00">
        <w:t>If you are working on a real consulting project, the final report may be different from a consulting proposal.</w:t>
      </w:r>
    </w:p>
    <w:p w14:paraId="6FDC65D0" w14:textId="77777777" w:rsidR="00361A96" w:rsidRPr="00005F6A" w:rsidRDefault="00361A96" w:rsidP="00970706">
      <w:pPr>
        <w:spacing w:line="360" w:lineRule="auto"/>
      </w:pPr>
      <w:r w:rsidRPr="004A5DCD">
        <w:rPr>
          <w:b/>
        </w:rPr>
        <w:t>Team Project Measurement</w:t>
      </w:r>
      <w:r w:rsidRPr="00005F6A">
        <w:t xml:space="preserve">: </w:t>
      </w:r>
      <w:r w:rsidR="00A37DBF">
        <w:t>Please</w:t>
      </w:r>
      <w:r w:rsidRPr="00005F6A">
        <w:t xml:space="preserve"> note that your performance will not only be measured by the quality and timeliness of the final report. It will also be </w:t>
      </w:r>
      <w:r w:rsidR="00A37DBF">
        <w:t>evaluated by</w:t>
      </w:r>
      <w:r w:rsidRPr="00005F6A">
        <w:t xml:space="preserve"> your </w:t>
      </w:r>
      <w:r w:rsidR="00A37DBF">
        <w:t>team members who participated in the project</w:t>
      </w:r>
      <w:r w:rsidRPr="00005F6A">
        <w:t>.</w:t>
      </w:r>
    </w:p>
    <w:p w14:paraId="753ABEF1" w14:textId="77777777" w:rsidR="00A31CD1" w:rsidRPr="00B12C30" w:rsidRDefault="00A31CD1" w:rsidP="00970706">
      <w:pPr>
        <w:spacing w:line="360" w:lineRule="auto"/>
      </w:pPr>
      <w:r w:rsidRPr="00B12C30">
        <w:t>You may wish to start early on your project. It may take the entire semester to complete, and procrastination is your enemy! Do not expect to complete the project in two weeks.</w:t>
      </w:r>
    </w:p>
    <w:p w14:paraId="56CC03D4" w14:textId="77777777" w:rsidR="00970706" w:rsidRDefault="00970706" w:rsidP="00970706">
      <w:pPr>
        <w:spacing w:line="360" w:lineRule="auto"/>
        <w:jc w:val="center"/>
        <w:rPr>
          <w:b/>
          <w:bCs/>
        </w:rPr>
      </w:pPr>
    </w:p>
    <w:p w14:paraId="69BC106B" w14:textId="16E7D466" w:rsidR="00D57F56" w:rsidRPr="00E91310" w:rsidRDefault="00D57F56" w:rsidP="00970706">
      <w:pPr>
        <w:spacing w:line="360" w:lineRule="auto"/>
        <w:jc w:val="center"/>
        <w:rPr>
          <w:b/>
          <w:bCs/>
        </w:rPr>
      </w:pPr>
      <w:r w:rsidRPr="00E91310">
        <w:rPr>
          <w:b/>
          <w:bCs/>
        </w:rPr>
        <w:t xml:space="preserve">Reading Assignments </w:t>
      </w:r>
    </w:p>
    <w:p w14:paraId="6ECED639" w14:textId="77777777" w:rsidR="00D57F56" w:rsidRPr="00E91310" w:rsidRDefault="00D57F56" w:rsidP="00E91310">
      <w:pPr>
        <w:spacing w:line="360" w:lineRule="auto"/>
        <w:jc w:val="center"/>
        <w:rPr>
          <w:b/>
          <w:bCs/>
        </w:rPr>
      </w:pPr>
    </w:p>
    <w:p w14:paraId="0FFD447E" w14:textId="77777777" w:rsidR="00D57F56" w:rsidRDefault="00D57F56" w:rsidP="00D57F56">
      <w:pPr>
        <w:numPr>
          <w:ilvl w:val="0"/>
          <w:numId w:val="14"/>
        </w:numPr>
      </w:pPr>
      <w:r>
        <w:t xml:space="preserve">Each participant is responsible for completing the reading assignments in a timely manner. </w:t>
      </w:r>
    </w:p>
    <w:p w14:paraId="02394BF3" w14:textId="77777777" w:rsidR="00D57F56" w:rsidRDefault="00D57F56" w:rsidP="00D57F56">
      <w:pPr>
        <w:numPr>
          <w:ilvl w:val="0"/>
          <w:numId w:val="14"/>
        </w:numPr>
      </w:pPr>
      <w:r>
        <w:t xml:space="preserve">Deadlines are listed in the </w:t>
      </w:r>
      <w:r w:rsidR="00E01FFD">
        <w:t>Module</w:t>
      </w:r>
      <w:r>
        <w:t xml:space="preserve"> Outline</w:t>
      </w:r>
      <w:r w:rsidR="00E01FFD">
        <w:t>s</w:t>
      </w:r>
      <w:r>
        <w:t xml:space="preserve">. </w:t>
      </w:r>
    </w:p>
    <w:p w14:paraId="6B236944" w14:textId="00D62229" w:rsidR="00D57F56" w:rsidRDefault="00D57F56" w:rsidP="00D57F56">
      <w:pPr>
        <w:numPr>
          <w:ilvl w:val="0"/>
          <w:numId w:val="14"/>
        </w:numPr>
      </w:pPr>
      <w:r>
        <w:lastRenderedPageBreak/>
        <w:t xml:space="preserve">Discussion and written assignments are made with the assumption that required reading assignments are completed prior to </w:t>
      </w:r>
      <w:r w:rsidR="000125C7">
        <w:t xml:space="preserve">the </w:t>
      </w:r>
      <w:r>
        <w:t xml:space="preserve">completion of discussion and written assignments. </w:t>
      </w:r>
    </w:p>
    <w:p w14:paraId="488A3431" w14:textId="77777777" w:rsidR="00A62E1C" w:rsidRDefault="00A62E1C" w:rsidP="00A62E1C"/>
    <w:p w14:paraId="0C840040" w14:textId="79F3CF3E" w:rsidR="00A62E1C" w:rsidRDefault="00C01F6C" w:rsidP="00A62E1C">
      <w:r>
        <w:rPr>
          <w:b/>
          <w:bCs/>
        </w:rPr>
        <w:t xml:space="preserve"> </w:t>
      </w:r>
    </w:p>
    <w:p w14:paraId="3F0A53A5" w14:textId="44BCB52E" w:rsidR="00A62E1C" w:rsidRPr="00C01F6C" w:rsidRDefault="00A62E1C" w:rsidP="00C01F6C">
      <w:pPr>
        <w:jc w:val="center"/>
        <w:rPr>
          <w:b/>
          <w:bCs/>
        </w:rPr>
      </w:pPr>
      <w:r w:rsidRPr="00C01F6C">
        <w:rPr>
          <w:b/>
          <w:bCs/>
        </w:rPr>
        <w:t>Written Assignments</w:t>
      </w:r>
      <w:r w:rsidR="00C01F6C">
        <w:rPr>
          <w:b/>
          <w:bCs/>
        </w:rPr>
        <w:t xml:space="preserve"> Requirements</w:t>
      </w:r>
    </w:p>
    <w:p w14:paraId="0A37A3DB" w14:textId="77777777" w:rsidR="00A62E1C" w:rsidRPr="00C01F6C" w:rsidRDefault="00A62E1C" w:rsidP="00A62E1C">
      <w:pPr>
        <w:rPr>
          <w:b/>
          <w:bCs/>
        </w:rPr>
      </w:pPr>
    </w:p>
    <w:p w14:paraId="1395C3E8" w14:textId="77777777" w:rsidR="00A62E1C" w:rsidRDefault="00A62E1C" w:rsidP="000B23C6">
      <w:pPr>
        <w:numPr>
          <w:ilvl w:val="0"/>
          <w:numId w:val="5"/>
        </w:numPr>
      </w:pPr>
      <w:r>
        <w:t xml:space="preserve">All written assignments are to be completed in Microsoft Word </w:t>
      </w:r>
      <w:r w:rsidR="000B23C6">
        <w:t>(in *.doc format, not *.docx format)</w:t>
      </w:r>
      <w:r>
        <w:t xml:space="preserve">, and submitted in a timely manner. Deadlines are listed in the Course Outline. Please note that all written assignments must be submitted by midnight Central Standard Time on the due date. </w:t>
      </w:r>
    </w:p>
    <w:p w14:paraId="7389495C" w14:textId="485D4396" w:rsidR="00A62E1C" w:rsidRDefault="00A62E1C" w:rsidP="000B23C6">
      <w:pPr>
        <w:numPr>
          <w:ilvl w:val="0"/>
          <w:numId w:val="5"/>
        </w:numPr>
      </w:pPr>
      <w:r>
        <w:t xml:space="preserve">All written assignments should be submitted to </w:t>
      </w:r>
      <w:r w:rsidR="00B938D9">
        <w:t>the</w:t>
      </w:r>
      <w:r>
        <w:t xml:space="preserve"> </w:t>
      </w:r>
      <w:r w:rsidR="009B5735">
        <w:t>designated</w:t>
      </w:r>
      <w:r>
        <w:t xml:space="preserve"> </w:t>
      </w:r>
      <w:r w:rsidR="00B938D9">
        <w:t>link</w:t>
      </w:r>
      <w:r w:rsidR="009B5735">
        <w:t xml:space="preserve"> </w:t>
      </w:r>
      <w:r w:rsidR="00B938D9">
        <w:t xml:space="preserve">under Assignment </w:t>
      </w:r>
      <w:r w:rsidR="009B5735">
        <w:t xml:space="preserve">on </w:t>
      </w:r>
      <w:r w:rsidR="00655B6A">
        <w:t>Canvas.</w:t>
      </w:r>
    </w:p>
    <w:p w14:paraId="74D04375" w14:textId="77777777" w:rsidR="00A62E1C" w:rsidRDefault="00A62E1C" w:rsidP="000B23C6">
      <w:pPr>
        <w:numPr>
          <w:ilvl w:val="0"/>
          <w:numId w:val="5"/>
        </w:numPr>
      </w:pPr>
      <w:r w:rsidRPr="00B37329">
        <w:rPr>
          <w:b/>
        </w:rPr>
        <w:t>Plagiarism is a serious academic offense</w:t>
      </w:r>
      <w:r>
        <w:t>. Please avoid the consequences of academic dishonesty by citing all so</w:t>
      </w:r>
      <w:r w:rsidR="00760ABA">
        <w:t>urces that you use in your work</w:t>
      </w:r>
      <w:r>
        <w:t xml:space="preserve"> </w:t>
      </w:r>
      <w:r w:rsidR="00760ABA">
        <w:t>(</w:t>
      </w:r>
      <w:r w:rsidR="005E44BE">
        <w:t xml:space="preserve">Online applications </w:t>
      </w:r>
      <w:r w:rsidR="00163739">
        <w:t>are available to</w:t>
      </w:r>
      <w:r w:rsidR="005E44BE">
        <w:t xml:space="preserve"> </w:t>
      </w:r>
      <w:r w:rsidR="00674D80">
        <w:t>identify</w:t>
      </w:r>
      <w:r w:rsidR="005E44BE">
        <w:t xml:space="preserve"> plagiarism</w:t>
      </w:r>
      <w:r w:rsidR="00163739">
        <w:t>). Other a</w:t>
      </w:r>
      <w:r>
        <w:t>cademic dishonesty</w:t>
      </w:r>
      <w:r w:rsidR="00B927D7">
        <w:t xml:space="preserve"> include</w:t>
      </w:r>
      <w:r>
        <w:t xml:space="preserve"> unauthorized</w:t>
      </w:r>
      <w:r w:rsidR="00303255">
        <w:t xml:space="preserve"> </w:t>
      </w:r>
      <w:r>
        <w:t>collusion and cheating, as outlined in the Handbook of Operating Procedure</w:t>
      </w:r>
      <w:r w:rsidR="00211A05">
        <w:t>s, University of Texas at Tyler</w:t>
      </w:r>
      <w:r>
        <w:t xml:space="preserve"> will not tolerate</w:t>
      </w:r>
      <w:r w:rsidR="00211A05">
        <w:t xml:space="preserve"> these behaviors</w:t>
      </w:r>
      <w:r>
        <w:t>. University regulations require the instructor to report all suspected cases of academic dis</w:t>
      </w:r>
      <w:r w:rsidR="00A53588">
        <w:t xml:space="preserve">honesty to the Dean of Student Affairs </w:t>
      </w:r>
      <w:r>
        <w:t>for disciplinary</w:t>
      </w:r>
      <w:r w:rsidR="00303255">
        <w:t xml:space="preserve"> </w:t>
      </w:r>
      <w:r>
        <w:t xml:space="preserve">action. In the event disciplinary measures are imposed on the student, it becomes part of the student's official school records. Also, please note that the handbook obligates you to report all observed cases of academic dishonesty to the instructor. </w:t>
      </w:r>
    </w:p>
    <w:p w14:paraId="74B8D537" w14:textId="13A5307C" w:rsidR="00A62E1C" w:rsidRDefault="00A62E1C" w:rsidP="005E44BE">
      <w:pPr>
        <w:numPr>
          <w:ilvl w:val="0"/>
          <w:numId w:val="5"/>
        </w:numPr>
      </w:pPr>
      <w:r>
        <w:t>Late assignment</w:t>
      </w:r>
      <w:r w:rsidR="004A5DCD">
        <w:t>s will receive point reductions, usually 20% of the respective assignment</w:t>
      </w:r>
      <w:r w:rsidR="00A20B18">
        <w:t xml:space="preserve">. Please take this as a </w:t>
      </w:r>
      <w:r w:rsidR="0044759D">
        <w:t xml:space="preserve">way to </w:t>
      </w:r>
      <w:r w:rsidR="000125C7">
        <w:t>enforce</w:t>
      </w:r>
      <w:r w:rsidR="0044759D">
        <w:t xml:space="preserve"> your </w:t>
      </w:r>
      <w:r w:rsidR="00A20B18">
        <w:t>professional commitment in the case that if your consulting report is late, your client will suffer losses, and your consulting fee may not get paid.</w:t>
      </w:r>
    </w:p>
    <w:p w14:paraId="71D8869B" w14:textId="77777777" w:rsidR="00A62E1C" w:rsidRDefault="00A62E1C" w:rsidP="00A62E1C"/>
    <w:p w14:paraId="1AB0CA3E" w14:textId="77777777" w:rsidR="00A62E1C" w:rsidRPr="005F7F64" w:rsidRDefault="00A62E1C" w:rsidP="005F7F64">
      <w:pPr>
        <w:jc w:val="center"/>
        <w:rPr>
          <w:b/>
        </w:rPr>
      </w:pPr>
      <w:r w:rsidRPr="005F7F64">
        <w:rPr>
          <w:b/>
        </w:rPr>
        <w:t>Completion Time</w:t>
      </w:r>
    </w:p>
    <w:p w14:paraId="0B4B6F96" w14:textId="77777777" w:rsidR="00A62E1C" w:rsidRDefault="00A62E1C" w:rsidP="00A62E1C"/>
    <w:p w14:paraId="680496C5" w14:textId="77777777" w:rsidR="00A62E1C" w:rsidRDefault="00A62E1C" w:rsidP="00A62E1C">
      <w:r>
        <w:t xml:space="preserve">You should expect to spend as much time on an online course as you do in a face-to-face course. </w:t>
      </w:r>
    </w:p>
    <w:p w14:paraId="1318F623" w14:textId="77777777" w:rsidR="00A62E1C" w:rsidRDefault="00A62E1C" w:rsidP="00A62E1C">
      <w:r>
        <w:t xml:space="preserve">The amount of time required for this course </w:t>
      </w:r>
      <w:r w:rsidR="00BA0CFE">
        <w:t>may</w:t>
      </w:r>
      <w:r>
        <w:t xml:space="preserve"> vary from student to student, depending on your</w:t>
      </w:r>
      <w:r w:rsidR="005F7F64">
        <w:t xml:space="preserve"> </w:t>
      </w:r>
      <w:r w:rsidR="00BA0CFE">
        <w:t>familiarity with the subject area</w:t>
      </w:r>
      <w:r>
        <w:t xml:space="preserve">. Keep in mind that your project must be completed in this one semester. </w:t>
      </w:r>
    </w:p>
    <w:p w14:paraId="3FA745C7" w14:textId="77777777" w:rsidR="005F7F64" w:rsidRDefault="00900E81" w:rsidP="00A62E1C">
      <w:r>
        <w:t xml:space="preserve"> </w:t>
      </w:r>
    </w:p>
    <w:p w14:paraId="0F2CAB74" w14:textId="77777777" w:rsidR="00A62E1C" w:rsidRDefault="00A62E1C" w:rsidP="00A62E1C">
      <w:r>
        <w:t xml:space="preserve">You will have access to all course materials from the start of the course to the end. You may look and study ahead, or go back and review, at any time during the course. All assignments have set due dates. Due dates are as of midnight Central Standard Time on that date. </w:t>
      </w:r>
    </w:p>
    <w:p w14:paraId="00566B64" w14:textId="3404B752" w:rsidR="00A52C26" w:rsidRDefault="00E045F8" w:rsidP="00C01F6C">
      <w:pPr>
        <w:rPr>
          <w:b/>
        </w:rPr>
      </w:pPr>
      <w:r>
        <w:rPr>
          <w:b/>
        </w:rPr>
        <w:t xml:space="preserve"> </w:t>
      </w:r>
    </w:p>
    <w:p w14:paraId="0E627F99" w14:textId="77777777" w:rsidR="00A52C26" w:rsidRDefault="00A52C26" w:rsidP="00473DB8">
      <w:pPr>
        <w:jc w:val="center"/>
        <w:rPr>
          <w:b/>
        </w:rPr>
      </w:pPr>
    </w:p>
    <w:p w14:paraId="73C5C0C2" w14:textId="77777777" w:rsidR="00A52C26" w:rsidRDefault="00A52C26" w:rsidP="00473DB8">
      <w:pPr>
        <w:jc w:val="center"/>
        <w:rPr>
          <w:b/>
        </w:rPr>
      </w:pPr>
    </w:p>
    <w:p w14:paraId="0E62022F" w14:textId="77777777" w:rsidR="00473DB8" w:rsidRPr="00473DB8" w:rsidRDefault="00473DB8" w:rsidP="00473DB8">
      <w:pPr>
        <w:jc w:val="center"/>
        <w:rPr>
          <w:b/>
        </w:rPr>
      </w:pPr>
      <w:r w:rsidRPr="00473DB8">
        <w:rPr>
          <w:b/>
        </w:rPr>
        <w:t>The Virtual Classroom</w:t>
      </w:r>
    </w:p>
    <w:p w14:paraId="60FA6DFC" w14:textId="77777777" w:rsidR="00473DB8" w:rsidRDefault="00473DB8" w:rsidP="00473DB8"/>
    <w:p w14:paraId="025A3D22" w14:textId="77777777" w:rsidR="00473DB8" w:rsidRDefault="00473DB8" w:rsidP="00473DB8">
      <w:r>
        <w:t xml:space="preserve">A key benefit of the “cyber classroom” is that participants can come to class at their convenience. Asynchronous communication allows each of us to post questions and comments </w:t>
      </w:r>
      <w:r>
        <w:lastRenderedPageBreak/>
        <w:t xml:space="preserve">and to respond at times of our choosing. My lecture material for each module will be brief; for this course, I am primarily a facilitator. </w:t>
      </w:r>
    </w:p>
    <w:p w14:paraId="5AE7F9FF" w14:textId="77777777" w:rsidR="00473DB8" w:rsidRDefault="00473DB8" w:rsidP="00473DB8"/>
    <w:p w14:paraId="177F84AC" w14:textId="1BEB8CAE" w:rsidR="00473DB8" w:rsidRDefault="00473DB8" w:rsidP="00473DB8">
      <w:r>
        <w:t xml:space="preserve">Throughout the semester, I will ask you to post material relevant to your project. Other class members will give their input. Comments and questions from your peers can be an invaluable resource to help you through your project.  </w:t>
      </w:r>
    </w:p>
    <w:p w14:paraId="6B38B703" w14:textId="6A8FCBAB" w:rsidR="005F147E" w:rsidRDefault="00655B6A" w:rsidP="00473DB8">
      <w:r>
        <w:t xml:space="preserve"> </w:t>
      </w:r>
    </w:p>
    <w:p w14:paraId="12118424" w14:textId="77777777" w:rsidR="00473DB8" w:rsidRDefault="00473DB8" w:rsidP="00473DB8"/>
    <w:p w14:paraId="450721C2" w14:textId="77777777" w:rsidR="00473DB8" w:rsidRPr="00473DB8" w:rsidRDefault="00473DB8" w:rsidP="00473DB8">
      <w:pPr>
        <w:jc w:val="center"/>
        <w:rPr>
          <w:b/>
        </w:rPr>
      </w:pPr>
      <w:r w:rsidRPr="00473DB8">
        <w:rPr>
          <w:b/>
        </w:rPr>
        <w:t>Participation</w:t>
      </w:r>
    </w:p>
    <w:p w14:paraId="3DA6F0A9" w14:textId="77777777" w:rsidR="00473DB8" w:rsidRDefault="00473DB8" w:rsidP="00473DB8"/>
    <w:p w14:paraId="486B4D6C" w14:textId="61AA4D8A" w:rsidR="00473DB8" w:rsidRDefault="00473DB8" w:rsidP="00473DB8">
      <w:r>
        <w:t xml:space="preserve">As a graduate student, you are expected to read, review, reflect upon, and discuss a large amount of information regarding the content of a course. In addition to the required textbook readings, you are expected to make extensive use of </w:t>
      </w:r>
      <w:r w:rsidR="000125C7">
        <w:t xml:space="preserve">the </w:t>
      </w:r>
      <w:r>
        <w:t xml:space="preserve">digital library and other Internet resources. The difference that you will find in this course is </w:t>
      </w:r>
      <w:r w:rsidR="000125C7">
        <w:t>a</w:t>
      </w:r>
      <w:r>
        <w:t xml:space="preserve"> large amount of time that you will be working on your own. Compared with other courses, there is not a large amount of lecture or text reading. In this course, you will be putting your knowledge to work in your project. </w:t>
      </w:r>
    </w:p>
    <w:p w14:paraId="578613C1" w14:textId="77777777" w:rsidR="00473DB8" w:rsidRDefault="00473DB8" w:rsidP="00473DB8"/>
    <w:p w14:paraId="55F882B1" w14:textId="167F7FC7" w:rsidR="00F04F60" w:rsidRDefault="00C01F6C" w:rsidP="00A62E1C">
      <w:r>
        <w:t xml:space="preserve"> </w:t>
      </w:r>
    </w:p>
    <w:p w14:paraId="1A9EF70B" w14:textId="77777777" w:rsidR="00A62E1C" w:rsidRDefault="00A62E1C" w:rsidP="00A62E1C">
      <w:r>
        <w:t xml:space="preserve">Accessing Library Resources </w:t>
      </w:r>
    </w:p>
    <w:p w14:paraId="5F78252E" w14:textId="77777777" w:rsidR="00A62E1C" w:rsidRDefault="00A62E1C" w:rsidP="00A62E1C"/>
    <w:p w14:paraId="1F373ACB" w14:textId="77777777" w:rsidR="00A62E1C" w:rsidRDefault="00A62E1C" w:rsidP="00A62E1C">
      <w:r>
        <w:t>Students enrolled in this course have several options to access li</w:t>
      </w:r>
      <w:r w:rsidR="00632D98">
        <w:t xml:space="preserve">brary resources. You may visit </w:t>
      </w:r>
      <w:r>
        <w:t xml:space="preserve">your home campus library or you may access the UT </w:t>
      </w:r>
      <w:r w:rsidR="00632D98">
        <w:t>Tyler</w:t>
      </w:r>
      <w:r>
        <w:t xml:space="preserve"> </w:t>
      </w:r>
      <w:r w:rsidR="00632D98">
        <w:t>Online</w:t>
      </w:r>
      <w:r>
        <w:t xml:space="preserve"> Library. You may also use the Robert R. </w:t>
      </w:r>
      <w:proofErr w:type="spellStart"/>
      <w:r>
        <w:t>Muntz</w:t>
      </w:r>
      <w:proofErr w:type="spellEnd"/>
      <w:r>
        <w:t xml:space="preserve"> Library at the University of Texas at Tyler. Follow </w:t>
      </w:r>
      <w:r w:rsidR="00632D98">
        <w:t>the</w:t>
      </w:r>
      <w:r>
        <w:t xml:space="preserve"> link</w:t>
      </w:r>
      <w:r w:rsidR="00632D98">
        <w:t xml:space="preserve"> below</w:t>
      </w:r>
      <w:r>
        <w:t>, and then complete the instructions at those sites for accessing i</w:t>
      </w:r>
      <w:r w:rsidR="00632D98">
        <w:t>nformation from a distant site: (</w:t>
      </w:r>
      <w:hyperlink r:id="rId8" w:history="1">
        <w:r w:rsidR="00632D98" w:rsidRPr="00175B99">
          <w:rPr>
            <w:rStyle w:val="Hyperlink"/>
          </w:rPr>
          <w:t>http://library.uttyler.edu</w:t>
        </w:r>
      </w:hyperlink>
      <w:r w:rsidR="00632D98">
        <w:t xml:space="preserve">) </w:t>
      </w:r>
    </w:p>
    <w:p w14:paraId="24D7327F" w14:textId="77777777" w:rsidR="00A62E1C" w:rsidRDefault="00A62E1C" w:rsidP="00A62E1C"/>
    <w:p w14:paraId="6EB9072E" w14:textId="77777777" w:rsidR="00A62E1C" w:rsidRDefault="00A62E1C" w:rsidP="00A62E1C">
      <w:r>
        <w:t xml:space="preserve">Some links within the course lectures may refer to material located in the UT </w:t>
      </w:r>
      <w:proofErr w:type="spellStart"/>
      <w:r>
        <w:t>TeleCampus</w:t>
      </w:r>
      <w:proofErr w:type="spellEnd"/>
      <w:r>
        <w:t xml:space="preserve"> </w:t>
      </w:r>
    </w:p>
    <w:p w14:paraId="69479B1C" w14:textId="226198A5" w:rsidR="00E045F8" w:rsidRPr="004C59EF" w:rsidRDefault="00A62E1C" w:rsidP="004C59EF">
      <w:r>
        <w:t>Digital Library</w:t>
      </w:r>
      <w:r w:rsidR="00A3316C">
        <w:t xml:space="preserve">: </w:t>
      </w:r>
      <w:hyperlink r:id="rId9" w:history="1">
        <w:r w:rsidR="00A3316C" w:rsidRPr="00175B99">
          <w:rPr>
            <w:rStyle w:val="Hyperlink"/>
          </w:rPr>
          <w:t>http://supportcenteronline.com/ics/support/default.asp?deptID=688</w:t>
        </w:r>
      </w:hyperlink>
      <w:r>
        <w:t xml:space="preserve">. When you click on the link in the course, you will go to the UT </w:t>
      </w:r>
      <w:proofErr w:type="spellStart"/>
      <w:r>
        <w:t>TeleCampus</w:t>
      </w:r>
      <w:proofErr w:type="spellEnd"/>
      <w:r>
        <w:t xml:space="preserve"> Digital Library Proxy Login. You must login with your </w:t>
      </w:r>
      <w:proofErr w:type="spellStart"/>
      <w:r>
        <w:t>TeleCampus</w:t>
      </w:r>
      <w:proofErr w:type="spellEnd"/>
      <w:r>
        <w:t xml:space="preserve"> username and password. This is the same username and password you use to access your courses and the </w:t>
      </w:r>
      <w:proofErr w:type="spellStart"/>
      <w:r>
        <w:t>TeleCampus</w:t>
      </w:r>
      <w:proofErr w:type="spellEnd"/>
      <w:r>
        <w:t xml:space="preserve"> Information System (TIS). Once you enter your username and password, you will be directed to</w:t>
      </w:r>
      <w:r w:rsidR="00A3316C">
        <w:t xml:space="preserve"> </w:t>
      </w:r>
      <w:r>
        <w:t xml:space="preserve">the material in the link. Please choose Full-PDF or Full-HTML version to view the contents. Adobe Acrobat is required to view PDF files. </w:t>
      </w:r>
    </w:p>
    <w:p w14:paraId="7B167828" w14:textId="77777777" w:rsidR="00E045F8" w:rsidRDefault="00E045F8" w:rsidP="00A3316C">
      <w:pPr>
        <w:jc w:val="center"/>
        <w:rPr>
          <w:b/>
        </w:rPr>
      </w:pPr>
    </w:p>
    <w:p w14:paraId="44378B37" w14:textId="77777777" w:rsidR="004C59EF" w:rsidRPr="00734148" w:rsidRDefault="004C59EF" w:rsidP="004C59EF">
      <w:pPr>
        <w:spacing w:before="180" w:after="180"/>
        <w:rPr>
          <w:rFonts w:ascii="LatoWeb" w:hAnsi="LatoWeb" w:hint="eastAsia"/>
          <w:lang w:val="en"/>
        </w:rPr>
      </w:pPr>
      <w:r w:rsidRPr="00734148">
        <w:rPr>
          <w:rFonts w:ascii="LatoWeb" w:hAnsi="LatoWeb"/>
          <w:b/>
          <w:bCs/>
          <w:lang w:val="en"/>
        </w:rPr>
        <w:t>Sending an Email to Professor:</w:t>
      </w:r>
    </w:p>
    <w:p w14:paraId="21E48A9C" w14:textId="77777777" w:rsidR="004C59EF" w:rsidRPr="00734148" w:rsidRDefault="004C59EF" w:rsidP="004C59EF">
      <w:pPr>
        <w:spacing w:before="180" w:after="180"/>
        <w:rPr>
          <w:rFonts w:ascii="LatoWeb" w:hAnsi="LatoWeb" w:hint="eastAsia"/>
          <w:lang w:val="en"/>
        </w:rPr>
      </w:pPr>
      <w:r w:rsidRPr="00734148">
        <w:rPr>
          <w:rFonts w:ascii="LatoWeb" w:hAnsi="LatoWeb"/>
          <w:lang w:val="en"/>
        </w:rPr>
        <w:t>In order to ensure I get your email, it is important:</w:t>
      </w:r>
    </w:p>
    <w:p w14:paraId="57A63D0A" w14:textId="77777777" w:rsidR="004C59EF" w:rsidRPr="00734148" w:rsidRDefault="004C59EF" w:rsidP="004C59EF">
      <w:pPr>
        <w:spacing w:before="180" w:after="180"/>
        <w:rPr>
          <w:rFonts w:ascii="LatoWeb" w:hAnsi="LatoWeb" w:hint="eastAsia"/>
          <w:lang w:val="en"/>
        </w:rPr>
      </w:pPr>
      <w:r w:rsidRPr="00734148">
        <w:rPr>
          <w:rFonts w:ascii="LatoWeb" w:hAnsi="LatoWeb"/>
          <w:lang w:val="en"/>
        </w:rPr>
        <w:t>Send your email from the Patriot email account, and</w:t>
      </w:r>
    </w:p>
    <w:p w14:paraId="1F809595" w14:textId="7970366E" w:rsidR="004C59EF" w:rsidRPr="00734148" w:rsidRDefault="004C59EF" w:rsidP="004C59EF">
      <w:pPr>
        <w:spacing w:before="180" w:after="180"/>
        <w:rPr>
          <w:rFonts w:ascii="LatoWeb" w:hAnsi="LatoWeb" w:hint="eastAsia"/>
          <w:lang w:val="en"/>
        </w:rPr>
      </w:pPr>
      <w:r w:rsidRPr="00734148">
        <w:rPr>
          <w:rFonts w:ascii="LatoWeb" w:hAnsi="LatoWeb"/>
          <w:lang w:val="en"/>
        </w:rPr>
        <w:t>Put “</w:t>
      </w:r>
      <w:r>
        <w:rPr>
          <w:rFonts w:ascii="LatoWeb" w:hAnsi="LatoWeb"/>
          <w:b/>
          <w:bCs/>
          <w:lang w:val="en"/>
        </w:rPr>
        <w:t>HRD 5347.060</w:t>
      </w:r>
      <w:r w:rsidRPr="00734148">
        <w:rPr>
          <w:rFonts w:ascii="LatoWeb" w:hAnsi="LatoWeb"/>
          <w:lang w:val="en"/>
        </w:rPr>
        <w:t>” in your email’s subject line.</w:t>
      </w:r>
    </w:p>
    <w:p w14:paraId="22F72CA7" w14:textId="77777777" w:rsidR="004C59EF" w:rsidRPr="00734148" w:rsidRDefault="004C59EF" w:rsidP="004C59EF">
      <w:pPr>
        <w:spacing w:before="180" w:after="180"/>
        <w:rPr>
          <w:rFonts w:ascii="LatoWeb" w:hAnsi="LatoWeb" w:hint="eastAsia"/>
          <w:lang w:val="en"/>
        </w:rPr>
      </w:pPr>
      <w:r w:rsidRPr="00734148">
        <w:rPr>
          <w:rFonts w:ascii="LatoWeb" w:hAnsi="LatoWeb"/>
          <w:lang w:val="en"/>
        </w:rPr>
        <w:t> </w:t>
      </w:r>
    </w:p>
    <w:p w14:paraId="7F78CCFE" w14:textId="77777777" w:rsidR="004C59EF" w:rsidRPr="00734148" w:rsidRDefault="004C59EF" w:rsidP="004C59EF">
      <w:pPr>
        <w:spacing w:before="180" w:after="180"/>
        <w:rPr>
          <w:rFonts w:ascii="LatoWeb" w:hAnsi="LatoWeb" w:hint="eastAsia"/>
          <w:lang w:val="en"/>
        </w:rPr>
      </w:pPr>
      <w:r w:rsidRPr="00734148">
        <w:rPr>
          <w:rFonts w:ascii="LatoWeb" w:hAnsi="LatoWeb"/>
          <w:b/>
          <w:bCs/>
          <w:lang w:val="en"/>
        </w:rPr>
        <w:t xml:space="preserve">Note: </w:t>
      </w:r>
    </w:p>
    <w:p w14:paraId="585D33AB" w14:textId="77777777" w:rsidR="004C59EF" w:rsidRPr="00734148" w:rsidRDefault="004C59EF" w:rsidP="004C59EF">
      <w:pPr>
        <w:spacing w:before="180" w:after="180"/>
        <w:rPr>
          <w:rFonts w:ascii="LatoWeb" w:hAnsi="LatoWeb" w:hint="eastAsia"/>
          <w:lang w:val="en"/>
        </w:rPr>
      </w:pPr>
      <w:r w:rsidRPr="00734148">
        <w:rPr>
          <w:rFonts w:ascii="LatoWeb" w:hAnsi="LatoWeb"/>
          <w:lang w:val="en"/>
        </w:rPr>
        <w:lastRenderedPageBreak/>
        <w:t>The above information is needed to ensure your email not treated like spam and gets timely attention.</w:t>
      </w:r>
    </w:p>
    <w:p w14:paraId="0A9409A8" w14:textId="77777777" w:rsidR="004C59EF" w:rsidRPr="00734148" w:rsidRDefault="004C59EF" w:rsidP="004C59EF">
      <w:pPr>
        <w:spacing w:before="180" w:after="180"/>
        <w:rPr>
          <w:rFonts w:ascii="LatoWeb" w:hAnsi="LatoWeb" w:hint="eastAsia"/>
          <w:lang w:val="en"/>
        </w:rPr>
      </w:pPr>
      <w:r w:rsidRPr="00734148">
        <w:rPr>
          <w:rFonts w:ascii="LatoWeb" w:hAnsi="LatoWeb"/>
          <w:lang w:val="en"/>
        </w:rPr>
        <w:t>Additionally, in order to protect the privacy of students, the university requires that all email communication with students be conducted through the university patriot email system.</w:t>
      </w:r>
    </w:p>
    <w:p w14:paraId="6C432009" w14:textId="77777777" w:rsidR="004C59EF" w:rsidRPr="00734148" w:rsidRDefault="004C59EF" w:rsidP="004C59EF">
      <w:pPr>
        <w:spacing w:before="180" w:after="180"/>
        <w:rPr>
          <w:rFonts w:ascii="LatoWeb" w:hAnsi="LatoWeb" w:hint="eastAsia"/>
          <w:lang w:val="en"/>
        </w:rPr>
      </w:pPr>
      <w:r w:rsidRPr="00734148">
        <w:rPr>
          <w:rFonts w:ascii="LatoWeb" w:hAnsi="LatoWeb"/>
          <w:lang w:val="en"/>
        </w:rPr>
        <w:t>It is your responsibility to regularly check your patriot email account.</w:t>
      </w:r>
    </w:p>
    <w:p w14:paraId="6630E756" w14:textId="77777777" w:rsidR="004C59EF" w:rsidRPr="00734148" w:rsidRDefault="004C59EF" w:rsidP="004C59EF">
      <w:pPr>
        <w:spacing w:before="180" w:after="180"/>
        <w:rPr>
          <w:rFonts w:ascii="LatoWeb" w:hAnsi="LatoWeb" w:hint="eastAsia"/>
          <w:lang w:val="en"/>
        </w:rPr>
      </w:pPr>
      <w:r w:rsidRPr="00734148">
        <w:rPr>
          <w:rFonts w:ascii="LatoWeb" w:hAnsi="LatoWeb"/>
          <w:lang w:val="en"/>
        </w:rPr>
        <w:t> </w:t>
      </w:r>
    </w:p>
    <w:p w14:paraId="7D27C7FF" w14:textId="77777777" w:rsidR="004C59EF" w:rsidRPr="00C33B24" w:rsidRDefault="004C59EF" w:rsidP="004C59EF">
      <w:pPr>
        <w:spacing w:before="180" w:after="180"/>
        <w:rPr>
          <w:rFonts w:ascii="LatoWeb" w:hAnsi="LatoWeb" w:hint="eastAsia"/>
          <w:b/>
          <w:bCs/>
          <w:lang w:val="en"/>
        </w:rPr>
      </w:pPr>
      <w:r w:rsidRPr="00C33B24">
        <w:rPr>
          <w:rFonts w:ascii="LatoWeb" w:hAnsi="LatoWeb"/>
          <w:b/>
          <w:bCs/>
          <w:lang w:val="en"/>
        </w:rPr>
        <w:t>Technical Support Information: </w:t>
      </w:r>
    </w:p>
    <w:p w14:paraId="7A308834" w14:textId="77777777" w:rsidR="004C59EF" w:rsidRPr="00C33B24" w:rsidRDefault="004C59EF" w:rsidP="004C59EF">
      <w:pPr>
        <w:spacing w:before="100" w:beforeAutospacing="1" w:after="100" w:afterAutospacing="1"/>
        <w:rPr>
          <w:rFonts w:ascii="LatoWeb" w:hAnsi="LatoWeb" w:hint="eastAsia"/>
          <w:lang w:val="en"/>
        </w:rPr>
      </w:pPr>
      <w:r w:rsidRPr="00C33B24">
        <w:rPr>
          <w:rFonts w:ascii="LatoWeb" w:hAnsi="LatoWeb"/>
          <w:lang w:val="en"/>
        </w:rPr>
        <w:t>If you experience technical problems with this course or Canvas, contact the 24/7 Canvas Support by phone or chat by clicking the Help button “</w:t>
      </w:r>
      <w:r>
        <w:rPr>
          <w:rFonts w:ascii="LatoWeb" w:hAnsi="LatoWeb"/>
          <w:lang w:val="en"/>
        </w:rPr>
        <w:t>?</w:t>
      </w:r>
      <w:r w:rsidRPr="00C33B24">
        <w:rPr>
          <w:rFonts w:ascii="LatoWeb" w:hAnsi="LatoWeb"/>
          <w:lang w:val="en"/>
        </w:rPr>
        <w:t>” in Canvas which is located at the bottom of the Canvas Global Menu on the left side of the window. </w:t>
      </w:r>
    </w:p>
    <w:p w14:paraId="32E63BC9" w14:textId="77777777" w:rsidR="004C59EF" w:rsidRPr="00C33B24" w:rsidRDefault="004C59EF" w:rsidP="004C59EF">
      <w:pPr>
        <w:spacing w:before="100" w:beforeAutospacing="1" w:after="100" w:afterAutospacing="1"/>
        <w:rPr>
          <w:rFonts w:ascii="LatoWeb" w:hAnsi="LatoWeb" w:hint="eastAsia"/>
          <w:lang w:val="en"/>
        </w:rPr>
      </w:pPr>
      <w:r w:rsidRPr="00C33B24">
        <w:rPr>
          <w:rFonts w:ascii="LatoWeb" w:hAnsi="LatoWeb"/>
          <w:lang w:val="en"/>
        </w:rPr>
        <w:t>When you contact Canvas Support, be sure to include a complete description of your problem or question including: </w:t>
      </w:r>
    </w:p>
    <w:p w14:paraId="45906277" w14:textId="77777777" w:rsidR="004C59EF" w:rsidRPr="00C33B24" w:rsidRDefault="004C59EF" w:rsidP="004C59EF">
      <w:pPr>
        <w:spacing w:before="100" w:beforeAutospacing="1" w:after="100" w:afterAutospacing="1"/>
        <w:rPr>
          <w:rFonts w:ascii="LatoWeb" w:hAnsi="LatoWeb" w:hint="eastAsia"/>
          <w:lang w:val="en"/>
        </w:rPr>
      </w:pPr>
      <w:r w:rsidRPr="00C33B24">
        <w:rPr>
          <w:rFonts w:ascii="LatoWeb" w:hAnsi="LatoWeb"/>
          <w:lang w:val="en"/>
        </w:rPr>
        <w:t>* The title and number of the course </w:t>
      </w:r>
    </w:p>
    <w:p w14:paraId="4F1E3DE8" w14:textId="77777777" w:rsidR="004C59EF" w:rsidRPr="00C33B24" w:rsidRDefault="004C59EF" w:rsidP="004C59EF">
      <w:pPr>
        <w:spacing w:before="100" w:beforeAutospacing="1" w:after="100" w:afterAutospacing="1"/>
        <w:rPr>
          <w:rFonts w:ascii="LatoWeb" w:hAnsi="LatoWeb" w:hint="eastAsia"/>
          <w:lang w:val="en"/>
        </w:rPr>
      </w:pPr>
      <w:r w:rsidRPr="00C33B24">
        <w:rPr>
          <w:rFonts w:ascii="LatoWeb" w:hAnsi="LatoWeb"/>
          <w:lang w:val="en"/>
        </w:rPr>
        <w:t>* The page in question </w:t>
      </w:r>
    </w:p>
    <w:p w14:paraId="5639BC7B" w14:textId="77777777" w:rsidR="004C59EF" w:rsidRPr="00C33B24" w:rsidRDefault="004C59EF" w:rsidP="004C59EF">
      <w:pPr>
        <w:spacing w:before="100" w:beforeAutospacing="1" w:after="100" w:afterAutospacing="1"/>
        <w:rPr>
          <w:rFonts w:ascii="LatoWeb" w:hAnsi="LatoWeb" w:hint="eastAsia"/>
          <w:lang w:val="en"/>
        </w:rPr>
      </w:pPr>
      <w:r w:rsidRPr="00C33B24">
        <w:rPr>
          <w:rFonts w:ascii="LatoWeb" w:hAnsi="LatoWeb"/>
          <w:lang w:val="en"/>
        </w:rPr>
        <w:t>* If you get an error message, a description and message number </w:t>
      </w:r>
    </w:p>
    <w:p w14:paraId="0000944D" w14:textId="77777777" w:rsidR="004C59EF" w:rsidRPr="00C33B24" w:rsidRDefault="004C59EF" w:rsidP="004C59EF">
      <w:pPr>
        <w:spacing w:before="100" w:beforeAutospacing="1" w:after="100" w:afterAutospacing="1"/>
        <w:rPr>
          <w:rFonts w:ascii="LatoWeb" w:hAnsi="LatoWeb" w:hint="eastAsia"/>
          <w:lang w:val="en"/>
        </w:rPr>
      </w:pPr>
      <w:r w:rsidRPr="00C33B24">
        <w:rPr>
          <w:rFonts w:ascii="LatoWeb" w:hAnsi="LatoWeb"/>
          <w:lang w:val="en"/>
        </w:rPr>
        <w:t>* What you were doing at the time you got the error message </w:t>
      </w:r>
    </w:p>
    <w:p w14:paraId="31460ABE" w14:textId="77777777" w:rsidR="004C59EF" w:rsidRPr="00C33B24" w:rsidRDefault="004C59EF" w:rsidP="004C59EF">
      <w:pPr>
        <w:spacing w:before="100" w:beforeAutospacing="1" w:after="100" w:afterAutospacing="1"/>
        <w:rPr>
          <w:rFonts w:ascii="LatoWeb" w:hAnsi="LatoWeb" w:hint="eastAsia"/>
          <w:lang w:val="en"/>
        </w:rPr>
      </w:pPr>
      <w:r w:rsidRPr="00C33B24">
        <w:rPr>
          <w:rFonts w:ascii="LatoWeb" w:hAnsi="LatoWeb"/>
          <w:lang w:val="en"/>
        </w:rPr>
        <w:t>You can also search the Canvas Student Guide for useful information on using Canvas at https://community.canvaslms.com/docs/DOC-10701 </w:t>
      </w:r>
    </w:p>
    <w:p w14:paraId="6716DA6A" w14:textId="77777777" w:rsidR="004C59EF" w:rsidRPr="00C33B24" w:rsidRDefault="004C59EF" w:rsidP="004C59EF">
      <w:pPr>
        <w:spacing w:before="100" w:beforeAutospacing="1" w:after="100" w:afterAutospacing="1"/>
        <w:rPr>
          <w:rFonts w:ascii="LatoWeb" w:hAnsi="LatoWeb" w:hint="eastAsia"/>
          <w:lang w:val="en"/>
        </w:rPr>
      </w:pPr>
      <w:r w:rsidRPr="00C33B24">
        <w:rPr>
          <w:rFonts w:ascii="LatoWeb" w:hAnsi="LatoWeb"/>
          <w:lang w:val="en"/>
        </w:rPr>
        <w:t>If you are experiencing login/password problems or need support for other technical issues, contact Campus Computing Services located in the Business Building (BUS 101), by phone 903-565-5555, or by email at itsupport@uttyler.edu</w:t>
      </w:r>
    </w:p>
    <w:p w14:paraId="72C5EF65" w14:textId="77777777" w:rsidR="004C59EF" w:rsidRPr="00734148" w:rsidRDefault="004C59EF" w:rsidP="004C59EF">
      <w:pPr>
        <w:spacing w:before="180" w:after="180"/>
        <w:rPr>
          <w:rFonts w:ascii="LatoWeb" w:hAnsi="LatoWeb" w:hint="eastAsia"/>
          <w:lang w:val="en"/>
        </w:rPr>
      </w:pPr>
    </w:p>
    <w:p w14:paraId="2E7DDC32" w14:textId="77777777" w:rsidR="004C59EF" w:rsidRPr="00734148" w:rsidRDefault="004C59EF" w:rsidP="004C59EF">
      <w:pPr>
        <w:spacing w:before="180" w:after="180"/>
        <w:rPr>
          <w:rFonts w:ascii="LatoWeb" w:hAnsi="LatoWeb" w:hint="eastAsia"/>
          <w:lang w:val="en"/>
        </w:rPr>
      </w:pPr>
      <w:r w:rsidRPr="00734148">
        <w:rPr>
          <w:rFonts w:ascii="LatoWeb" w:hAnsi="LatoWeb"/>
          <w:b/>
          <w:bCs/>
          <w:lang w:val="en"/>
        </w:rPr>
        <w:t xml:space="preserve">ACADEMIC DISHONESTY STATEMENT: </w:t>
      </w:r>
    </w:p>
    <w:p w14:paraId="2D753039" w14:textId="77777777" w:rsidR="004C59EF" w:rsidRPr="00734148" w:rsidRDefault="004C59EF" w:rsidP="004C59EF">
      <w:pPr>
        <w:spacing w:before="180" w:after="180"/>
        <w:rPr>
          <w:rFonts w:ascii="LatoWeb" w:hAnsi="LatoWeb" w:hint="eastAsia"/>
          <w:lang w:val="en"/>
        </w:rPr>
      </w:pPr>
      <w:r w:rsidRPr="00734148">
        <w:rPr>
          <w:rFonts w:ascii="LatoWeb" w:hAnsi="LatoWeb"/>
          <w:lang w:val="en"/>
        </w:rPr>
        <w:t>The faculty expects from its students a high level of responsibility and academic honesty. Because the value of an academic degree depends upon the absolute integrity of the work done by the student for that degree, it is imperative that a student demonstrates a high standard of individual honor in his or her scholastic work. Scholastic dishonesty includes, but is not limited to, statements, acts or omissions related to applications for enrollment of the award of a degree, and/or the submission, as one’s own work of material that is not one’s own. As a general rule, scholastic dishonesty involves one of the following acts: cheating, plagiarism, collusion and/or falsifying academic records. Students suspected of academic dishonesty are subject to disciplinary proceedings.</w:t>
      </w:r>
    </w:p>
    <w:p w14:paraId="03C7CE2E" w14:textId="77777777" w:rsidR="004C59EF" w:rsidRPr="00734148" w:rsidRDefault="004C59EF" w:rsidP="004C59EF">
      <w:pPr>
        <w:spacing w:before="180" w:after="180"/>
        <w:rPr>
          <w:rFonts w:ascii="LatoWeb" w:hAnsi="LatoWeb" w:hint="eastAsia"/>
          <w:lang w:val="en"/>
        </w:rPr>
      </w:pPr>
      <w:r w:rsidRPr="00734148">
        <w:rPr>
          <w:rFonts w:ascii="LatoWeb" w:hAnsi="LatoWeb"/>
          <w:lang w:val="en"/>
        </w:rPr>
        <w:lastRenderedPageBreak/>
        <w:t>University regulations require the instructor to report all suspected cases of academic dishonesty to the Dean of Students for disciplinary action. In the event disciplinary measures are imposed on the student, it becomes part of the students’ official school records. Also, please note that the handbook obligates you to report all observed cases of academic dishonesty to the instructor.</w:t>
      </w:r>
    </w:p>
    <w:p w14:paraId="233D7B87" w14:textId="77777777" w:rsidR="004C59EF" w:rsidRDefault="004C59EF" w:rsidP="004C59EF">
      <w:pPr>
        <w:spacing w:before="180" w:after="180"/>
        <w:rPr>
          <w:rFonts w:ascii="LatoWeb" w:hAnsi="LatoWeb" w:hint="eastAsia"/>
          <w:b/>
          <w:bCs/>
          <w:u w:val="single"/>
          <w:lang w:val="en"/>
        </w:rPr>
      </w:pPr>
    </w:p>
    <w:p w14:paraId="08B8A218" w14:textId="77777777" w:rsidR="004C59EF" w:rsidRPr="006B7CE2" w:rsidRDefault="004C59EF" w:rsidP="004C59EF">
      <w:pPr>
        <w:spacing w:before="100" w:beforeAutospacing="1" w:after="100" w:afterAutospacing="1"/>
        <w:rPr>
          <w:rFonts w:ascii="-webkit-standard" w:hAnsi="-webkit-standard" w:hint="eastAsia"/>
          <w:b/>
          <w:color w:val="000000"/>
        </w:rPr>
      </w:pPr>
      <w:r w:rsidRPr="006B7CE2">
        <w:rPr>
          <w:rFonts w:ascii="-webkit-standard" w:hAnsi="-webkit-standard"/>
          <w:b/>
          <w:color w:val="000000"/>
        </w:rPr>
        <w:t>UNIVERSITY POLICIES AND ADDITIONAL INFORMATION THAT MUST APPEAR IN EACH COURSE SYLLABUS </w:t>
      </w:r>
    </w:p>
    <w:p w14:paraId="2E2F211A" w14:textId="77777777" w:rsidR="004C59EF" w:rsidRPr="006B7CE2" w:rsidRDefault="004C59EF" w:rsidP="004C59EF">
      <w:pPr>
        <w:spacing w:before="100" w:beforeAutospacing="1" w:after="100" w:afterAutospacing="1"/>
        <w:rPr>
          <w:rFonts w:ascii="-webkit-standard" w:hAnsi="-webkit-standard" w:hint="eastAsia"/>
          <w:b/>
          <w:color w:val="000000"/>
        </w:rPr>
      </w:pPr>
      <w:r w:rsidRPr="006B7CE2">
        <w:rPr>
          <w:rFonts w:ascii="-webkit-standard" w:hAnsi="-webkit-standard"/>
          <w:b/>
          <w:color w:val="000000"/>
        </w:rPr>
        <w:t>UT Tyler Honor Code </w:t>
      </w:r>
    </w:p>
    <w:p w14:paraId="6115A6A1"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Every member of the UT Tyler community joins together to embrace: Honor and integrity that will not allow me to lie, cheat, or steal, nor to accept the actions of those who do. </w:t>
      </w:r>
    </w:p>
    <w:p w14:paraId="16A65392"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Students Rights and Responsibilities </w:t>
      </w:r>
    </w:p>
    <w:p w14:paraId="05E0BCCB"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To know and understand the policies that affect your rights and responsibilities as a student at UT Tyler, please follow this link: http://www.uttyler.edu/wellness/rightsresponsibilities.php </w:t>
      </w:r>
    </w:p>
    <w:p w14:paraId="19B7666E" w14:textId="77777777" w:rsidR="004C59EF" w:rsidRPr="006B7CE2" w:rsidRDefault="004C59EF" w:rsidP="004C59EF">
      <w:pPr>
        <w:spacing w:before="100" w:beforeAutospacing="1" w:after="100" w:afterAutospacing="1"/>
        <w:rPr>
          <w:rFonts w:ascii="-webkit-standard" w:hAnsi="-webkit-standard" w:hint="eastAsia"/>
          <w:b/>
          <w:color w:val="000000"/>
        </w:rPr>
      </w:pPr>
      <w:r w:rsidRPr="006B7CE2">
        <w:rPr>
          <w:rFonts w:ascii="-webkit-standard" w:hAnsi="-webkit-standard"/>
          <w:b/>
          <w:color w:val="000000"/>
        </w:rPr>
        <w:t>Campus Carry </w:t>
      </w:r>
    </w:p>
    <w:p w14:paraId="2BE143A8"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We respect the right and privacy of students 21 and over who are duly licensed to carry concealed weapons in this class. License holders are expected to behave responsibly and keep a handgun secure and concealed. More information is available at http://www.uttyler.edu/about/campus-carry/index.php </w:t>
      </w:r>
    </w:p>
    <w:p w14:paraId="7BED589F"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UT Tyler a Tobacco-Free University </w:t>
      </w:r>
    </w:p>
    <w:p w14:paraId="5B6DCEBC"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All forms of tobacco will not be permitted on the UT Tyler main campus, branch campuses, and any property owned by UT Tyler. This applies to all members of the University community, including students, faculty, staff, University affiliates, contractors, and visitors. </w:t>
      </w:r>
    </w:p>
    <w:p w14:paraId="1EA0EF9F"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Forms of tobacco not permitted include cigarettes, cigars, pipes, water pipes (hookah), bidis, kreteks, electronic cigarettes, smokeless tobacco, snuff, chewing tobacco, and all other tobacco products. </w:t>
      </w:r>
    </w:p>
    <w:p w14:paraId="1F155AC4"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 xml:space="preserve">There are several cessation programs available to students looking to quit smoking, including counseling, </w:t>
      </w:r>
      <w:proofErr w:type="spellStart"/>
      <w:r w:rsidRPr="006B7CE2">
        <w:rPr>
          <w:rFonts w:ascii="-webkit-standard" w:hAnsi="-webkit-standard"/>
          <w:color w:val="000000"/>
        </w:rPr>
        <w:t>quitlines</w:t>
      </w:r>
      <w:proofErr w:type="spellEnd"/>
      <w:r w:rsidRPr="006B7CE2">
        <w:rPr>
          <w:rFonts w:ascii="-webkit-standard" w:hAnsi="-webkit-standard"/>
          <w:color w:val="000000"/>
        </w:rPr>
        <w:t>, and group support. For more information on cessation programs please visit www.uttyler.edu/tobacco-free. </w:t>
      </w:r>
    </w:p>
    <w:p w14:paraId="1147C6EE" w14:textId="77777777" w:rsidR="004C59EF" w:rsidRPr="006B7CE2" w:rsidRDefault="004C59EF" w:rsidP="004C59EF">
      <w:pPr>
        <w:spacing w:before="100" w:beforeAutospacing="1" w:after="100" w:afterAutospacing="1"/>
        <w:rPr>
          <w:rFonts w:ascii="-webkit-standard" w:hAnsi="-webkit-standard" w:hint="eastAsia"/>
          <w:b/>
          <w:color w:val="000000"/>
        </w:rPr>
      </w:pPr>
      <w:r w:rsidRPr="006B7CE2">
        <w:rPr>
          <w:rFonts w:ascii="-webkit-standard" w:hAnsi="-webkit-standard"/>
          <w:b/>
          <w:color w:val="000000"/>
        </w:rPr>
        <w:t>Grade Replacement/Forgiveness and Census Date Policies </w:t>
      </w:r>
    </w:p>
    <w:p w14:paraId="09A75502"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 xml:space="preserve">Students repeating a course for grade forgiveness (grade replacement) must file a Grade Replacement Contract with the Enrollment Services Center (ADM 230) on or before the Census Date of the semester in which the course will be repeated. Grade Replacement Contracts are available in the Enrollment Services Center or at http://www.uttyler.edu/registrar. Each </w:t>
      </w:r>
      <w:r w:rsidRPr="006B7CE2">
        <w:rPr>
          <w:rFonts w:ascii="-webkit-standard" w:hAnsi="-webkit-standard"/>
          <w:color w:val="000000"/>
        </w:rPr>
        <w:lastRenderedPageBreak/>
        <w:t>semester’s Census Date can be found on the Contract itself, on the Academic Calendar, or in the information pamphlets published each semester by the Office of the Registrar. </w:t>
      </w:r>
    </w:p>
    <w:p w14:paraId="7374D835"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w:t>
      </w:r>
    </w:p>
    <w:p w14:paraId="64976914"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The Census Date is the deadline for many forms and enrollment actions of which students need to be aware. These include: </w:t>
      </w:r>
    </w:p>
    <w:p w14:paraId="1FA71FF9"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 Submitting Grade Replacement Contracts, Transient Forms, requests to withhold directory information, approvals for taking courses as Audit, Pass/Fail or Credit/No Credit. </w:t>
      </w:r>
    </w:p>
    <w:p w14:paraId="69826906"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 Receiving 100% refunds for partial withdrawals. (There is no refund for these after the Census Date) </w:t>
      </w:r>
    </w:p>
    <w:p w14:paraId="4B03F5A7"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 Schedule adjustments (section changes, adding a new class, dropping without a “W” grade) </w:t>
      </w:r>
    </w:p>
    <w:p w14:paraId="71F3E5C6"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 Being reinstated or re-enrolled in classes after being dropped for non-payment </w:t>
      </w:r>
    </w:p>
    <w:p w14:paraId="34C2E287"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 Completing the process for tuition exemptions or waivers through Financial Aid </w:t>
      </w:r>
    </w:p>
    <w:p w14:paraId="337929CA" w14:textId="77777777" w:rsidR="004C59EF" w:rsidRPr="006B7CE2" w:rsidRDefault="004C59EF" w:rsidP="004C59EF">
      <w:pPr>
        <w:spacing w:before="100" w:beforeAutospacing="1" w:after="100" w:afterAutospacing="1"/>
        <w:rPr>
          <w:rFonts w:ascii="-webkit-standard" w:hAnsi="-webkit-standard" w:hint="eastAsia"/>
          <w:b/>
          <w:color w:val="000000"/>
        </w:rPr>
      </w:pPr>
      <w:r w:rsidRPr="006B7CE2">
        <w:rPr>
          <w:rFonts w:ascii="-webkit-standard" w:hAnsi="-webkit-standard"/>
          <w:b/>
          <w:color w:val="000000"/>
        </w:rPr>
        <w:t>State-Mandated Course Drop Policy </w:t>
      </w:r>
    </w:p>
    <w:p w14:paraId="4A44EE91"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w:t>
      </w:r>
    </w:p>
    <w:p w14:paraId="518115C1"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Exceptions to the 6-drop rule may be found in the catalog. Petitions for exemptions must be submitted to the Enrollment Services Center and must be accompanied by documentation of the extenuating circumstance. Please contact the Enrollment Services Center if you have any questions. </w:t>
      </w:r>
    </w:p>
    <w:p w14:paraId="602C6839" w14:textId="77777777" w:rsidR="004C59EF" w:rsidRPr="006B7CE2" w:rsidRDefault="004C59EF" w:rsidP="004C59EF">
      <w:pPr>
        <w:spacing w:before="100" w:beforeAutospacing="1" w:after="100" w:afterAutospacing="1"/>
        <w:rPr>
          <w:rFonts w:ascii="-webkit-standard" w:hAnsi="-webkit-standard" w:hint="eastAsia"/>
          <w:b/>
          <w:color w:val="000000"/>
        </w:rPr>
      </w:pPr>
      <w:r w:rsidRPr="006B7CE2">
        <w:rPr>
          <w:rFonts w:ascii="-webkit-standard" w:hAnsi="-webkit-standard"/>
          <w:b/>
          <w:color w:val="000000"/>
        </w:rPr>
        <w:t>Disability/Accessibility Services </w:t>
      </w:r>
    </w:p>
    <w:p w14:paraId="22A74E1E"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 xml:space="preserve">In accordance with Section 504 of the Rehabilitation Act, Americans with Disabilities Act (ADA) and the ADA Amendments Act (ADAAA) the University of Texas at Tyler offers accommodations to students with learning, physical and/or psychological disabilities. If you have a disability, including a non-visible diagnosis such as a learning disorder, chronic illness, TBI, PTSD, ADHD, or you have a history of modifications or accommodations in a previous educational environment, you are encouraged to visit https://hood.accessiblelearning.com/UTTyler and fill out the New Student application. The </w:t>
      </w:r>
      <w:r w:rsidRPr="006B7CE2">
        <w:rPr>
          <w:rFonts w:ascii="-webkit-standard" w:hAnsi="-webkit-standard"/>
          <w:color w:val="000000"/>
        </w:rPr>
        <w:lastRenderedPageBreak/>
        <w:t>Student Accessibility and Resources (SAR) office will contact you when your application has been submitted and an appointment with Cynthia Lowery, Assistant Director of Student Services/ADA Coordinator. For more information, including filling out an application for services, please visit the SAR webpage at http://www.uttyler.edu/disabilityservices, the SAR office located in the University Center, # 3150 or call 903.566.7079. </w:t>
      </w:r>
    </w:p>
    <w:p w14:paraId="076C8E99"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Student Absence due to Religious Observance </w:t>
      </w:r>
    </w:p>
    <w:p w14:paraId="6AA731CF"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 xml:space="preserve">Students who anticipate being absent from class due to a religious observance are requested to inform the instructor of such absences by the </w:t>
      </w:r>
      <w:proofErr w:type="gramStart"/>
      <w:r w:rsidRPr="006B7CE2">
        <w:rPr>
          <w:rFonts w:ascii="-webkit-standard" w:hAnsi="-webkit-standard"/>
          <w:color w:val="000000"/>
        </w:rPr>
        <w:t>second class</w:t>
      </w:r>
      <w:proofErr w:type="gramEnd"/>
      <w:r w:rsidRPr="006B7CE2">
        <w:rPr>
          <w:rFonts w:ascii="-webkit-standard" w:hAnsi="-webkit-standard"/>
          <w:color w:val="000000"/>
        </w:rPr>
        <w:t xml:space="preserve"> meeting of the semester. </w:t>
      </w:r>
    </w:p>
    <w:p w14:paraId="2B2ED52D" w14:textId="77777777"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Student Absence for University-Sponsored Events and Activities </w:t>
      </w:r>
    </w:p>
    <w:p w14:paraId="58608A44" w14:textId="5C8934CE" w:rsidR="004C59EF" w:rsidRPr="006B7CE2" w:rsidRDefault="004C59EF" w:rsidP="004C59EF">
      <w:pPr>
        <w:spacing w:before="100" w:beforeAutospacing="1" w:after="100" w:afterAutospacing="1"/>
        <w:rPr>
          <w:rFonts w:ascii="-webkit-standard" w:hAnsi="-webkit-standard" w:hint="eastAsia"/>
          <w:color w:val="000000"/>
        </w:rPr>
      </w:pPr>
      <w:r w:rsidRPr="006B7CE2">
        <w:rPr>
          <w:rFonts w:ascii="-webkit-standard" w:hAnsi="-webkit-standard"/>
          <w:color w:val="000000"/>
        </w:rPr>
        <w:t>If you intend to be absent for a university-sponsored event or activity, you (or the event sponsor) must notify the instructor at least two weeks prior to the date of the planned absence. At that time the instructor will set a date and time when make-up assignments will be completed. </w:t>
      </w:r>
    </w:p>
    <w:p w14:paraId="131886A4" w14:textId="77777777" w:rsidR="007962F1" w:rsidRPr="004A2704" w:rsidRDefault="007962F1" w:rsidP="007962F1">
      <w:pPr>
        <w:pStyle w:val="BodyText"/>
        <w:kinsoku w:val="0"/>
        <w:overflowPunct w:val="0"/>
        <w:spacing w:before="55"/>
        <w:rPr>
          <w:rFonts w:ascii="Times New Roman" w:eastAsia="Times New Roman" w:hAnsi="Times New Roman"/>
          <w:b/>
          <w:sz w:val="24"/>
          <w:szCs w:val="24"/>
        </w:rPr>
      </w:pPr>
      <w:r w:rsidRPr="004A2704">
        <w:rPr>
          <w:rFonts w:ascii="Times New Roman" w:eastAsia="Times New Roman" w:hAnsi="Times New Roman"/>
          <w:b/>
          <w:sz w:val="24"/>
          <w:szCs w:val="24"/>
        </w:rPr>
        <w:t>Student Absence for University-Sponsored Events and Activities</w:t>
      </w:r>
    </w:p>
    <w:p w14:paraId="2EF2016B" w14:textId="77777777" w:rsidR="007962F1" w:rsidRPr="007962F1" w:rsidRDefault="007962F1" w:rsidP="007962F1">
      <w:pPr>
        <w:pStyle w:val="BodyText"/>
        <w:kinsoku w:val="0"/>
        <w:overflowPunct w:val="0"/>
        <w:spacing w:before="1" w:line="239" w:lineRule="auto"/>
        <w:ind w:right="360"/>
        <w:jc w:val="both"/>
        <w:rPr>
          <w:rFonts w:ascii="Times New Roman" w:eastAsia="Times New Roman" w:hAnsi="Times New Roman"/>
          <w:sz w:val="24"/>
          <w:szCs w:val="24"/>
        </w:rPr>
      </w:pPr>
      <w:r w:rsidRPr="007962F1">
        <w:rPr>
          <w:rFonts w:ascii="Times New Roman" w:eastAsia="Times New Roman" w:hAnsi="Times New Roman"/>
          <w:sz w:val="24"/>
          <w:szCs w:val="24"/>
        </w:rPr>
        <w:t>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152D366C" w14:textId="77777777" w:rsidR="007962F1" w:rsidRPr="004A2704" w:rsidRDefault="007962F1" w:rsidP="007962F1">
      <w:pPr>
        <w:pStyle w:val="BodyText"/>
        <w:kinsoku w:val="0"/>
        <w:overflowPunct w:val="0"/>
        <w:spacing w:before="61"/>
        <w:rPr>
          <w:rFonts w:ascii="Times New Roman" w:eastAsia="Times New Roman" w:hAnsi="Times New Roman"/>
          <w:b/>
          <w:sz w:val="24"/>
          <w:szCs w:val="24"/>
        </w:rPr>
      </w:pPr>
      <w:r w:rsidRPr="004A2704">
        <w:rPr>
          <w:rFonts w:ascii="Times New Roman" w:eastAsia="Times New Roman" w:hAnsi="Times New Roman"/>
          <w:b/>
          <w:sz w:val="24"/>
          <w:szCs w:val="24"/>
        </w:rPr>
        <w:t>Social Security and FERPA Statement</w:t>
      </w:r>
    </w:p>
    <w:p w14:paraId="028D8AD4" w14:textId="77777777" w:rsidR="007962F1" w:rsidRPr="007962F1" w:rsidRDefault="007962F1" w:rsidP="007962F1">
      <w:pPr>
        <w:pStyle w:val="BodyText"/>
        <w:kinsoku w:val="0"/>
        <w:overflowPunct w:val="0"/>
        <w:spacing w:before="1" w:line="239" w:lineRule="auto"/>
        <w:ind w:right="192"/>
        <w:rPr>
          <w:rFonts w:ascii="Times New Roman" w:eastAsia="Times New Roman" w:hAnsi="Times New Roman"/>
          <w:sz w:val="24"/>
          <w:szCs w:val="24"/>
        </w:rPr>
      </w:pPr>
      <w:r w:rsidRPr="007962F1">
        <w:rPr>
          <w:rFonts w:ascii="Times New Roman" w:eastAsia="Times New Roman" w:hAnsi="Times New Roman"/>
          <w:sz w:val="24"/>
          <w:szCs w:val="24"/>
        </w:rPr>
        <w:t>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0B13A655" w14:textId="77777777" w:rsidR="007962F1" w:rsidRPr="007962F1" w:rsidRDefault="007962F1" w:rsidP="007962F1">
      <w:pPr>
        <w:pStyle w:val="BodyText"/>
        <w:kinsoku w:val="0"/>
        <w:overflowPunct w:val="0"/>
        <w:spacing w:before="60"/>
        <w:rPr>
          <w:rFonts w:ascii="Times New Roman" w:eastAsia="Times New Roman" w:hAnsi="Times New Roman"/>
          <w:b/>
          <w:sz w:val="24"/>
          <w:szCs w:val="24"/>
        </w:rPr>
      </w:pPr>
      <w:r w:rsidRPr="007962F1">
        <w:rPr>
          <w:rFonts w:ascii="Times New Roman" w:eastAsia="Times New Roman" w:hAnsi="Times New Roman"/>
          <w:b/>
          <w:sz w:val="24"/>
          <w:szCs w:val="24"/>
        </w:rPr>
        <w:t>Emergency Exits and Evacuation</w:t>
      </w:r>
    </w:p>
    <w:p w14:paraId="0BE0D105" w14:textId="77777777" w:rsidR="007962F1" w:rsidRPr="007962F1" w:rsidRDefault="007962F1" w:rsidP="007962F1">
      <w:pPr>
        <w:pStyle w:val="BodyText"/>
        <w:kinsoku w:val="0"/>
        <w:overflowPunct w:val="0"/>
        <w:spacing w:before="1" w:line="239" w:lineRule="auto"/>
        <w:ind w:right="227"/>
        <w:rPr>
          <w:rFonts w:ascii="Times New Roman" w:eastAsia="Times New Roman" w:hAnsi="Times New Roman"/>
          <w:sz w:val="24"/>
          <w:szCs w:val="24"/>
        </w:rPr>
      </w:pPr>
      <w:r w:rsidRPr="007962F1">
        <w:rPr>
          <w:rFonts w:ascii="Times New Roman" w:eastAsia="Times New Roman" w:hAnsi="Times New Roman"/>
          <w:sz w:val="24"/>
          <w:szCs w:val="24"/>
        </w:rPr>
        <w:t>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4ABF5186" w14:textId="77777777" w:rsidR="007962F1" w:rsidRPr="007962F1" w:rsidRDefault="007962F1" w:rsidP="007962F1">
      <w:pPr>
        <w:pStyle w:val="BodyText"/>
        <w:kinsoku w:val="0"/>
        <w:overflowPunct w:val="0"/>
        <w:spacing w:before="60"/>
        <w:rPr>
          <w:rFonts w:ascii="Times New Roman" w:eastAsia="Times New Roman" w:hAnsi="Times New Roman"/>
          <w:b/>
          <w:sz w:val="24"/>
          <w:szCs w:val="24"/>
        </w:rPr>
      </w:pPr>
      <w:r w:rsidRPr="007962F1">
        <w:rPr>
          <w:rFonts w:ascii="Times New Roman" w:eastAsia="Times New Roman" w:hAnsi="Times New Roman"/>
          <w:b/>
          <w:sz w:val="24"/>
          <w:szCs w:val="24"/>
        </w:rPr>
        <w:t>Student Standards of Academic Conduct</w:t>
      </w:r>
    </w:p>
    <w:p w14:paraId="352B3D13" w14:textId="1C7540FC" w:rsidR="007962F1" w:rsidRPr="004D12AE" w:rsidRDefault="007962F1" w:rsidP="007962F1">
      <w:pPr>
        <w:pStyle w:val="BodyText"/>
        <w:kinsoku w:val="0"/>
        <w:overflowPunct w:val="0"/>
        <w:spacing w:line="242" w:lineRule="exact"/>
        <w:rPr>
          <w:rFonts w:ascii="Times New Roman" w:eastAsia="Times New Roman" w:hAnsi="Times New Roman"/>
          <w:sz w:val="24"/>
          <w:szCs w:val="24"/>
        </w:rPr>
      </w:pPr>
      <w:r w:rsidRPr="004D12AE">
        <w:rPr>
          <w:rFonts w:ascii="Times New Roman" w:eastAsia="Times New Roman" w:hAnsi="Times New Roman"/>
          <w:sz w:val="24"/>
          <w:szCs w:val="24"/>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56D2CF14" w14:textId="77777777" w:rsidR="007962F1" w:rsidRPr="004D12AE" w:rsidRDefault="007962F1" w:rsidP="007962F1">
      <w:pPr>
        <w:pStyle w:val="BodyText"/>
        <w:widowControl w:val="0"/>
        <w:numPr>
          <w:ilvl w:val="0"/>
          <w:numId w:val="21"/>
        </w:numPr>
        <w:tabs>
          <w:tab w:val="left" w:pos="820"/>
        </w:tabs>
        <w:kinsoku w:val="0"/>
        <w:overflowPunct w:val="0"/>
        <w:autoSpaceDE w:val="0"/>
        <w:autoSpaceDN w:val="0"/>
        <w:adjustRightInd w:val="0"/>
        <w:spacing w:line="242" w:lineRule="exact"/>
        <w:ind w:left="820"/>
        <w:rPr>
          <w:rFonts w:ascii="Times New Roman" w:eastAsia="Times New Roman" w:hAnsi="Times New Roman"/>
          <w:sz w:val="24"/>
          <w:szCs w:val="24"/>
        </w:rPr>
      </w:pPr>
      <w:r w:rsidRPr="004D12AE">
        <w:rPr>
          <w:rFonts w:ascii="Times New Roman" w:eastAsia="Times New Roman" w:hAnsi="Times New Roman"/>
          <w:sz w:val="24"/>
          <w:szCs w:val="24"/>
        </w:rPr>
        <w:t>“Cheating” includes, but is not limited to:</w:t>
      </w:r>
    </w:p>
    <w:p w14:paraId="705F0F8C" w14:textId="77777777" w:rsidR="007962F1" w:rsidRPr="004D12AE" w:rsidRDefault="007962F1" w:rsidP="007962F1">
      <w:pPr>
        <w:pStyle w:val="BodyText"/>
        <w:widowControl w:val="0"/>
        <w:numPr>
          <w:ilvl w:val="1"/>
          <w:numId w:val="21"/>
        </w:numPr>
        <w:tabs>
          <w:tab w:val="left" w:pos="1180"/>
        </w:tabs>
        <w:kinsoku w:val="0"/>
        <w:overflowPunct w:val="0"/>
        <w:autoSpaceDE w:val="0"/>
        <w:autoSpaceDN w:val="0"/>
        <w:adjustRightInd w:val="0"/>
        <w:spacing w:before="2"/>
        <w:ind w:left="1180"/>
        <w:rPr>
          <w:rFonts w:ascii="Times New Roman" w:eastAsia="Times New Roman" w:hAnsi="Times New Roman"/>
          <w:sz w:val="24"/>
          <w:szCs w:val="24"/>
        </w:rPr>
      </w:pPr>
      <w:r w:rsidRPr="004D12AE">
        <w:rPr>
          <w:rFonts w:ascii="Times New Roman" w:eastAsia="Times New Roman" w:hAnsi="Times New Roman"/>
          <w:sz w:val="24"/>
          <w:szCs w:val="24"/>
        </w:rPr>
        <w:t>copying from another student’s test paper;</w:t>
      </w:r>
    </w:p>
    <w:p w14:paraId="09E47389" w14:textId="77777777" w:rsidR="007962F1" w:rsidRPr="004D12AE" w:rsidRDefault="007962F1" w:rsidP="007962F1">
      <w:pPr>
        <w:pStyle w:val="BodyText"/>
        <w:widowControl w:val="0"/>
        <w:numPr>
          <w:ilvl w:val="1"/>
          <w:numId w:val="21"/>
        </w:numPr>
        <w:tabs>
          <w:tab w:val="left" w:pos="1180"/>
        </w:tabs>
        <w:kinsoku w:val="0"/>
        <w:overflowPunct w:val="0"/>
        <w:autoSpaceDE w:val="0"/>
        <w:autoSpaceDN w:val="0"/>
        <w:adjustRightInd w:val="0"/>
        <w:spacing w:line="254" w:lineRule="exact"/>
        <w:ind w:left="1180"/>
        <w:rPr>
          <w:rFonts w:ascii="Times New Roman" w:eastAsia="Times New Roman" w:hAnsi="Times New Roman"/>
          <w:sz w:val="24"/>
          <w:szCs w:val="24"/>
        </w:rPr>
      </w:pPr>
      <w:r w:rsidRPr="004D12AE">
        <w:rPr>
          <w:rFonts w:ascii="Times New Roman" w:eastAsia="Times New Roman" w:hAnsi="Times New Roman"/>
          <w:sz w:val="24"/>
          <w:szCs w:val="24"/>
        </w:rPr>
        <w:t>using, during a test, materials not authorized by the person giving the test;</w:t>
      </w:r>
    </w:p>
    <w:p w14:paraId="1C31040C" w14:textId="77777777" w:rsidR="007962F1" w:rsidRPr="004D12AE" w:rsidRDefault="007962F1" w:rsidP="007962F1">
      <w:pPr>
        <w:pStyle w:val="BodyText"/>
        <w:widowControl w:val="0"/>
        <w:numPr>
          <w:ilvl w:val="1"/>
          <w:numId w:val="21"/>
        </w:numPr>
        <w:tabs>
          <w:tab w:val="left" w:pos="1180"/>
        </w:tabs>
        <w:kinsoku w:val="0"/>
        <w:overflowPunct w:val="0"/>
        <w:autoSpaceDE w:val="0"/>
        <w:autoSpaceDN w:val="0"/>
        <w:adjustRightInd w:val="0"/>
        <w:spacing w:line="254" w:lineRule="exact"/>
        <w:ind w:left="1180"/>
        <w:rPr>
          <w:rFonts w:ascii="Times New Roman" w:eastAsia="Times New Roman" w:hAnsi="Times New Roman"/>
          <w:sz w:val="24"/>
          <w:szCs w:val="24"/>
        </w:rPr>
      </w:pPr>
      <w:r w:rsidRPr="004D12AE">
        <w:rPr>
          <w:rFonts w:ascii="Times New Roman" w:eastAsia="Times New Roman" w:hAnsi="Times New Roman"/>
          <w:sz w:val="24"/>
          <w:szCs w:val="24"/>
        </w:rPr>
        <w:t>failure to comply with instructions given by the person administering the test;</w:t>
      </w:r>
    </w:p>
    <w:p w14:paraId="1F74F975" w14:textId="77777777" w:rsidR="007962F1" w:rsidRPr="004D12AE" w:rsidRDefault="007962F1" w:rsidP="007962F1">
      <w:pPr>
        <w:pStyle w:val="BodyText"/>
        <w:widowControl w:val="0"/>
        <w:numPr>
          <w:ilvl w:val="1"/>
          <w:numId w:val="21"/>
        </w:numPr>
        <w:tabs>
          <w:tab w:val="left" w:pos="1180"/>
        </w:tabs>
        <w:kinsoku w:val="0"/>
        <w:overflowPunct w:val="0"/>
        <w:autoSpaceDE w:val="0"/>
        <w:autoSpaceDN w:val="0"/>
        <w:adjustRightInd w:val="0"/>
        <w:spacing w:before="9" w:line="242" w:lineRule="exact"/>
        <w:ind w:left="1180" w:right="711"/>
        <w:rPr>
          <w:rFonts w:ascii="Times New Roman" w:eastAsia="Times New Roman" w:hAnsi="Times New Roman"/>
          <w:sz w:val="24"/>
          <w:szCs w:val="24"/>
        </w:rPr>
      </w:pPr>
      <w:r w:rsidRPr="004D12AE">
        <w:rPr>
          <w:rFonts w:ascii="Times New Roman" w:eastAsia="Times New Roman" w:hAnsi="Times New Roman"/>
          <w:sz w:val="24"/>
          <w:szCs w:val="24"/>
        </w:rPr>
        <w:t>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6592C0B6" w14:textId="77777777" w:rsidR="007962F1" w:rsidRPr="004D12AE" w:rsidRDefault="007962F1" w:rsidP="007962F1">
      <w:pPr>
        <w:pStyle w:val="BodyText"/>
        <w:widowControl w:val="0"/>
        <w:numPr>
          <w:ilvl w:val="1"/>
          <w:numId w:val="21"/>
        </w:numPr>
        <w:tabs>
          <w:tab w:val="left" w:pos="1180"/>
        </w:tabs>
        <w:kinsoku w:val="0"/>
        <w:overflowPunct w:val="0"/>
        <w:autoSpaceDE w:val="0"/>
        <w:autoSpaceDN w:val="0"/>
        <w:adjustRightInd w:val="0"/>
        <w:spacing w:before="14" w:line="242" w:lineRule="exact"/>
        <w:ind w:left="1180" w:right="688"/>
        <w:rPr>
          <w:rFonts w:ascii="Times New Roman" w:eastAsia="Times New Roman" w:hAnsi="Times New Roman"/>
          <w:sz w:val="24"/>
          <w:szCs w:val="24"/>
        </w:rPr>
      </w:pPr>
      <w:r w:rsidRPr="004D12AE">
        <w:rPr>
          <w:rFonts w:ascii="Times New Roman" w:eastAsia="Times New Roman" w:hAnsi="Times New Roman"/>
          <w:sz w:val="24"/>
          <w:szCs w:val="24"/>
        </w:rPr>
        <w:lastRenderedPageBreak/>
        <w:t>using, buying, stealing, transporting, or soliciting in whole or part the contents of an unadministered test, test key, homework solution, or computer program;</w:t>
      </w:r>
    </w:p>
    <w:p w14:paraId="49F803B2" w14:textId="77777777" w:rsidR="007962F1" w:rsidRPr="004D12AE" w:rsidRDefault="007962F1" w:rsidP="007962F1">
      <w:pPr>
        <w:pStyle w:val="BodyText"/>
        <w:widowControl w:val="0"/>
        <w:numPr>
          <w:ilvl w:val="1"/>
          <w:numId w:val="21"/>
        </w:numPr>
        <w:tabs>
          <w:tab w:val="left" w:pos="1180"/>
        </w:tabs>
        <w:kinsoku w:val="0"/>
        <w:overflowPunct w:val="0"/>
        <w:autoSpaceDE w:val="0"/>
        <w:autoSpaceDN w:val="0"/>
        <w:adjustRightInd w:val="0"/>
        <w:spacing w:before="7"/>
        <w:ind w:left="1180"/>
        <w:rPr>
          <w:rFonts w:ascii="Times New Roman" w:eastAsia="Times New Roman" w:hAnsi="Times New Roman"/>
          <w:sz w:val="24"/>
          <w:szCs w:val="24"/>
        </w:rPr>
      </w:pPr>
      <w:r w:rsidRPr="004D12AE">
        <w:rPr>
          <w:rFonts w:ascii="Times New Roman" w:eastAsia="Times New Roman" w:hAnsi="Times New Roman"/>
          <w:sz w:val="24"/>
          <w:szCs w:val="24"/>
        </w:rPr>
        <w:t>collaborating with or seeking aid from another student during a test or other assignment without authority;</w:t>
      </w:r>
    </w:p>
    <w:p w14:paraId="4AB2ADFD" w14:textId="77777777" w:rsidR="007962F1" w:rsidRPr="004D12AE" w:rsidRDefault="007962F1" w:rsidP="007962F1">
      <w:pPr>
        <w:pStyle w:val="BodyText"/>
        <w:widowControl w:val="0"/>
        <w:numPr>
          <w:ilvl w:val="1"/>
          <w:numId w:val="21"/>
        </w:numPr>
        <w:tabs>
          <w:tab w:val="left" w:pos="1180"/>
        </w:tabs>
        <w:kinsoku w:val="0"/>
        <w:overflowPunct w:val="0"/>
        <w:autoSpaceDE w:val="0"/>
        <w:autoSpaceDN w:val="0"/>
        <w:adjustRightInd w:val="0"/>
        <w:spacing w:line="254" w:lineRule="exact"/>
        <w:ind w:left="1180"/>
        <w:rPr>
          <w:rFonts w:ascii="Times New Roman" w:eastAsia="Times New Roman" w:hAnsi="Times New Roman"/>
          <w:sz w:val="24"/>
          <w:szCs w:val="24"/>
        </w:rPr>
      </w:pPr>
      <w:r w:rsidRPr="004D12AE">
        <w:rPr>
          <w:rFonts w:ascii="Times New Roman" w:eastAsia="Times New Roman" w:hAnsi="Times New Roman"/>
          <w:sz w:val="24"/>
          <w:szCs w:val="24"/>
        </w:rPr>
        <w:t>discussing the contents of an examination with another student who will take the examination;</w:t>
      </w:r>
    </w:p>
    <w:p w14:paraId="43C99315" w14:textId="77777777" w:rsidR="007962F1" w:rsidRPr="004D12AE" w:rsidRDefault="007962F1" w:rsidP="007962F1">
      <w:pPr>
        <w:pStyle w:val="BodyText"/>
        <w:widowControl w:val="0"/>
        <w:numPr>
          <w:ilvl w:val="1"/>
          <w:numId w:val="21"/>
        </w:numPr>
        <w:tabs>
          <w:tab w:val="left" w:pos="1180"/>
        </w:tabs>
        <w:kinsoku w:val="0"/>
        <w:overflowPunct w:val="0"/>
        <w:autoSpaceDE w:val="0"/>
        <w:autoSpaceDN w:val="0"/>
        <w:adjustRightInd w:val="0"/>
        <w:spacing w:line="239" w:lineRule="auto"/>
        <w:ind w:left="1180" w:right="258"/>
        <w:rPr>
          <w:rFonts w:ascii="Times New Roman" w:eastAsia="Times New Roman" w:hAnsi="Times New Roman"/>
          <w:sz w:val="24"/>
          <w:szCs w:val="24"/>
        </w:rPr>
      </w:pPr>
      <w:r w:rsidRPr="004D12AE">
        <w:rPr>
          <w:rFonts w:ascii="Times New Roman" w:eastAsia="Times New Roman" w:hAnsi="Times New Roman"/>
          <w:sz w:val="24"/>
          <w:szCs w:val="24"/>
        </w:rPr>
        <w:t>divulging the contents of an examination, for the purpose of preserving questions for use by another, when the instructors has designated that the examination is not to be removed from the examination room or not to be returned or to be kept by the student;</w:t>
      </w:r>
    </w:p>
    <w:p w14:paraId="271C741B" w14:textId="77777777" w:rsidR="007962F1" w:rsidRPr="004D12AE" w:rsidRDefault="007962F1" w:rsidP="007962F1">
      <w:pPr>
        <w:pStyle w:val="BodyText"/>
        <w:widowControl w:val="0"/>
        <w:numPr>
          <w:ilvl w:val="1"/>
          <w:numId w:val="21"/>
        </w:numPr>
        <w:tabs>
          <w:tab w:val="left" w:pos="1180"/>
        </w:tabs>
        <w:kinsoku w:val="0"/>
        <w:overflowPunct w:val="0"/>
        <w:autoSpaceDE w:val="0"/>
        <w:autoSpaceDN w:val="0"/>
        <w:adjustRightInd w:val="0"/>
        <w:spacing w:before="9" w:line="242" w:lineRule="exact"/>
        <w:ind w:left="1180" w:right="431"/>
        <w:rPr>
          <w:rFonts w:ascii="Times New Roman" w:eastAsia="Times New Roman" w:hAnsi="Times New Roman"/>
          <w:sz w:val="24"/>
          <w:szCs w:val="24"/>
        </w:rPr>
      </w:pPr>
      <w:r w:rsidRPr="004D12AE">
        <w:rPr>
          <w:rFonts w:ascii="Times New Roman" w:eastAsia="Times New Roman" w:hAnsi="Times New Roman"/>
          <w:sz w:val="24"/>
          <w:szCs w:val="24"/>
        </w:rPr>
        <w:t>substituting for another person, or permitting another person to substitute for oneself to take a course, a test, or any course-related assignment;</w:t>
      </w:r>
    </w:p>
    <w:p w14:paraId="099F03BB" w14:textId="77777777" w:rsidR="007962F1" w:rsidRPr="004D12AE" w:rsidRDefault="007962F1" w:rsidP="007962F1">
      <w:pPr>
        <w:pStyle w:val="BodyText"/>
        <w:widowControl w:val="0"/>
        <w:numPr>
          <w:ilvl w:val="1"/>
          <w:numId w:val="21"/>
        </w:numPr>
        <w:tabs>
          <w:tab w:val="left" w:pos="1180"/>
        </w:tabs>
        <w:kinsoku w:val="0"/>
        <w:overflowPunct w:val="0"/>
        <w:autoSpaceDE w:val="0"/>
        <w:autoSpaceDN w:val="0"/>
        <w:adjustRightInd w:val="0"/>
        <w:spacing w:before="7" w:line="239" w:lineRule="auto"/>
        <w:ind w:left="1180" w:right="236"/>
        <w:rPr>
          <w:rFonts w:ascii="Times New Roman" w:eastAsia="Times New Roman" w:hAnsi="Times New Roman"/>
          <w:sz w:val="24"/>
          <w:szCs w:val="24"/>
        </w:rPr>
      </w:pPr>
      <w:r w:rsidRPr="004D12AE">
        <w:rPr>
          <w:rFonts w:ascii="Times New Roman" w:eastAsia="Times New Roman" w:hAnsi="Times New Roman"/>
          <w:sz w:val="24"/>
          <w:szCs w:val="24"/>
        </w:rPr>
        <w:t>paying or offering money or other valuable thing to, or coercing another person to obtain an unadministered test, test key, homework solution, or computer program or information about an unadministered test, test key, home solution or computer program;</w:t>
      </w:r>
    </w:p>
    <w:p w14:paraId="345EE132" w14:textId="77777777" w:rsidR="007962F1" w:rsidRPr="004D12AE" w:rsidRDefault="007962F1" w:rsidP="007962F1">
      <w:pPr>
        <w:pStyle w:val="BodyText"/>
        <w:widowControl w:val="0"/>
        <w:numPr>
          <w:ilvl w:val="1"/>
          <w:numId w:val="21"/>
        </w:numPr>
        <w:tabs>
          <w:tab w:val="left" w:pos="1180"/>
        </w:tabs>
        <w:kinsoku w:val="0"/>
        <w:overflowPunct w:val="0"/>
        <w:autoSpaceDE w:val="0"/>
        <w:autoSpaceDN w:val="0"/>
        <w:adjustRightInd w:val="0"/>
        <w:spacing w:line="255" w:lineRule="exact"/>
        <w:ind w:left="1180"/>
        <w:rPr>
          <w:rFonts w:ascii="Times New Roman" w:eastAsia="Times New Roman" w:hAnsi="Times New Roman"/>
          <w:sz w:val="24"/>
          <w:szCs w:val="24"/>
        </w:rPr>
      </w:pPr>
      <w:r w:rsidRPr="004D12AE">
        <w:rPr>
          <w:rFonts w:ascii="Times New Roman" w:eastAsia="Times New Roman" w:hAnsi="Times New Roman"/>
          <w:sz w:val="24"/>
          <w:szCs w:val="24"/>
        </w:rPr>
        <w:t>falsifying research data, laboratory reports, and/or other academic work offered for credit;</w:t>
      </w:r>
    </w:p>
    <w:p w14:paraId="36F200D9" w14:textId="77777777" w:rsidR="007962F1" w:rsidRPr="004D12AE" w:rsidRDefault="007962F1" w:rsidP="007962F1">
      <w:pPr>
        <w:pStyle w:val="BodyText"/>
        <w:widowControl w:val="0"/>
        <w:numPr>
          <w:ilvl w:val="1"/>
          <w:numId w:val="21"/>
        </w:numPr>
        <w:tabs>
          <w:tab w:val="left" w:pos="1180"/>
        </w:tabs>
        <w:kinsoku w:val="0"/>
        <w:overflowPunct w:val="0"/>
        <w:autoSpaceDE w:val="0"/>
        <w:autoSpaceDN w:val="0"/>
        <w:adjustRightInd w:val="0"/>
        <w:spacing w:before="9" w:line="242" w:lineRule="exact"/>
        <w:ind w:left="1180" w:right="423"/>
        <w:rPr>
          <w:rFonts w:ascii="Times New Roman" w:eastAsia="Times New Roman" w:hAnsi="Times New Roman"/>
          <w:sz w:val="24"/>
          <w:szCs w:val="24"/>
        </w:rPr>
      </w:pPr>
      <w:r w:rsidRPr="004D12AE">
        <w:rPr>
          <w:rFonts w:ascii="Times New Roman" w:eastAsia="Times New Roman" w:hAnsi="Times New Roman"/>
          <w:sz w:val="24"/>
          <w:szCs w:val="24"/>
        </w:rPr>
        <w:t>taking, keeping, misplacing, or damaging the property of The University of Texas at Tyler, or of another, if the student knows or reasonably should know that an unfair academic advantage would be gained by such conduct; and</w:t>
      </w:r>
    </w:p>
    <w:p w14:paraId="7D175BD2" w14:textId="77777777" w:rsidR="007962F1" w:rsidRPr="004D12AE" w:rsidRDefault="007962F1" w:rsidP="007962F1">
      <w:pPr>
        <w:pStyle w:val="BodyText"/>
        <w:widowControl w:val="0"/>
        <w:numPr>
          <w:ilvl w:val="1"/>
          <w:numId w:val="21"/>
        </w:numPr>
        <w:tabs>
          <w:tab w:val="left" w:pos="1180"/>
        </w:tabs>
        <w:kinsoku w:val="0"/>
        <w:overflowPunct w:val="0"/>
        <w:autoSpaceDE w:val="0"/>
        <w:autoSpaceDN w:val="0"/>
        <w:adjustRightInd w:val="0"/>
        <w:spacing w:before="14" w:line="242" w:lineRule="exact"/>
        <w:ind w:left="1180" w:right="194"/>
        <w:rPr>
          <w:rFonts w:ascii="Times New Roman" w:eastAsia="Times New Roman" w:hAnsi="Times New Roman"/>
          <w:sz w:val="24"/>
          <w:szCs w:val="24"/>
        </w:rPr>
      </w:pPr>
      <w:r w:rsidRPr="004D12AE">
        <w:rPr>
          <w:rFonts w:ascii="Times New Roman" w:eastAsia="Times New Roman" w:hAnsi="Times New Roman"/>
          <w:sz w:val="24"/>
          <w:szCs w:val="24"/>
        </w:rPr>
        <w:t>misrepresenting facts, including providing false grades or resumes, for the purpose of obtaining an academic or financial benefit or injuring another student academically or financially.</w:t>
      </w:r>
    </w:p>
    <w:p w14:paraId="042A8313" w14:textId="77777777" w:rsidR="007962F1" w:rsidRPr="004D12AE" w:rsidRDefault="007962F1" w:rsidP="007962F1">
      <w:pPr>
        <w:pStyle w:val="BodyText"/>
        <w:widowControl w:val="0"/>
        <w:numPr>
          <w:ilvl w:val="0"/>
          <w:numId w:val="21"/>
        </w:numPr>
        <w:tabs>
          <w:tab w:val="left" w:pos="820"/>
        </w:tabs>
        <w:kinsoku w:val="0"/>
        <w:overflowPunct w:val="0"/>
        <w:autoSpaceDE w:val="0"/>
        <w:autoSpaceDN w:val="0"/>
        <w:adjustRightInd w:val="0"/>
        <w:spacing w:before="3"/>
        <w:ind w:left="820" w:right="180" w:hanging="498"/>
        <w:rPr>
          <w:rFonts w:ascii="Times New Roman" w:eastAsia="Times New Roman" w:hAnsi="Times New Roman"/>
          <w:sz w:val="24"/>
          <w:szCs w:val="24"/>
        </w:rPr>
      </w:pPr>
      <w:r w:rsidRPr="004D12AE">
        <w:rPr>
          <w:rFonts w:ascii="Times New Roman" w:eastAsia="Times New Roman" w:hAnsi="Times New Roman"/>
          <w:sz w:val="24"/>
          <w:szCs w:val="24"/>
        </w:rPr>
        <w:t>“Plagiarism” includes, but is not limited to, the appropriation, buying, receiving as a gift, or obtaining by any means another’s work and the submission of it as one’s own academic work offered for credit.</w:t>
      </w:r>
    </w:p>
    <w:p w14:paraId="6DF32613" w14:textId="77777777" w:rsidR="007962F1" w:rsidRPr="004D12AE" w:rsidRDefault="007962F1" w:rsidP="007962F1">
      <w:pPr>
        <w:pStyle w:val="BodyText"/>
        <w:widowControl w:val="0"/>
        <w:numPr>
          <w:ilvl w:val="0"/>
          <w:numId w:val="21"/>
        </w:numPr>
        <w:tabs>
          <w:tab w:val="left" w:pos="820"/>
        </w:tabs>
        <w:kinsoku w:val="0"/>
        <w:overflowPunct w:val="0"/>
        <w:autoSpaceDE w:val="0"/>
        <w:autoSpaceDN w:val="0"/>
        <w:adjustRightInd w:val="0"/>
        <w:spacing w:line="239" w:lineRule="auto"/>
        <w:ind w:left="820" w:right="639" w:hanging="543"/>
        <w:rPr>
          <w:rFonts w:ascii="Times New Roman" w:eastAsia="Times New Roman" w:hAnsi="Times New Roman"/>
          <w:sz w:val="24"/>
          <w:szCs w:val="24"/>
        </w:rPr>
      </w:pPr>
      <w:r w:rsidRPr="004D12AE">
        <w:rPr>
          <w:rFonts w:ascii="Times New Roman" w:eastAsia="Times New Roman" w:hAnsi="Times New Roman"/>
          <w:sz w:val="24"/>
          <w:szCs w:val="24"/>
        </w:rPr>
        <w:t>“Collusion” includes, but is not limited to, the unauthorized collaboration with another person in preparing academic assignments offered for credit or collaboration with another person to commit a violation of any section of the rules on scholastic dishonesty.</w:t>
      </w:r>
    </w:p>
    <w:p w14:paraId="24088D42" w14:textId="77777777" w:rsidR="007962F1" w:rsidRPr="004D12AE" w:rsidRDefault="007962F1" w:rsidP="007962F1">
      <w:pPr>
        <w:pStyle w:val="BodyText"/>
        <w:widowControl w:val="0"/>
        <w:numPr>
          <w:ilvl w:val="0"/>
          <w:numId w:val="21"/>
        </w:numPr>
        <w:tabs>
          <w:tab w:val="left" w:pos="820"/>
        </w:tabs>
        <w:kinsoku w:val="0"/>
        <w:overflowPunct w:val="0"/>
        <w:autoSpaceDE w:val="0"/>
        <w:autoSpaceDN w:val="0"/>
        <w:adjustRightInd w:val="0"/>
        <w:spacing w:line="246" w:lineRule="exact"/>
        <w:ind w:left="820" w:hanging="541"/>
        <w:rPr>
          <w:rFonts w:ascii="Times New Roman" w:eastAsia="Times New Roman" w:hAnsi="Times New Roman"/>
          <w:sz w:val="24"/>
          <w:szCs w:val="24"/>
        </w:rPr>
      </w:pPr>
      <w:r w:rsidRPr="004D12AE">
        <w:rPr>
          <w:rFonts w:ascii="Times New Roman" w:eastAsia="Times New Roman" w:hAnsi="Times New Roman"/>
          <w:sz w:val="24"/>
          <w:szCs w:val="24"/>
        </w:rPr>
        <w:t xml:space="preserve">All written work that is submitted will be subject to review by </w:t>
      </w:r>
      <w:proofErr w:type="spellStart"/>
      <w:r w:rsidRPr="004D12AE">
        <w:rPr>
          <w:rFonts w:ascii="Times New Roman" w:eastAsia="Times New Roman" w:hAnsi="Times New Roman"/>
          <w:sz w:val="24"/>
          <w:szCs w:val="24"/>
        </w:rPr>
        <w:t>SafeAssignTM</w:t>
      </w:r>
      <w:proofErr w:type="spellEnd"/>
      <w:r w:rsidRPr="004D12AE">
        <w:rPr>
          <w:rFonts w:ascii="Times New Roman" w:eastAsia="Times New Roman" w:hAnsi="Times New Roman"/>
          <w:sz w:val="24"/>
          <w:szCs w:val="24"/>
        </w:rPr>
        <w:t>, available on Blackboard.</w:t>
      </w:r>
    </w:p>
    <w:p w14:paraId="771FD53F" w14:textId="77777777" w:rsidR="007962F1" w:rsidRPr="004D12AE" w:rsidRDefault="007962F1" w:rsidP="007962F1">
      <w:pPr>
        <w:pStyle w:val="BodyText"/>
        <w:kinsoku w:val="0"/>
        <w:overflowPunct w:val="0"/>
        <w:spacing w:before="60"/>
        <w:rPr>
          <w:rFonts w:ascii="Times New Roman" w:eastAsia="Times New Roman" w:hAnsi="Times New Roman"/>
          <w:b/>
          <w:sz w:val="24"/>
          <w:szCs w:val="24"/>
        </w:rPr>
      </w:pPr>
      <w:r w:rsidRPr="004D12AE">
        <w:rPr>
          <w:rFonts w:ascii="Times New Roman" w:eastAsia="Times New Roman" w:hAnsi="Times New Roman"/>
          <w:b/>
          <w:sz w:val="24"/>
          <w:szCs w:val="24"/>
        </w:rPr>
        <w:t>UT Tyler Resources for Students</w:t>
      </w:r>
    </w:p>
    <w:p w14:paraId="1B44BB8A" w14:textId="77777777" w:rsidR="007962F1" w:rsidRPr="004D12AE" w:rsidRDefault="00000000" w:rsidP="007962F1">
      <w:pPr>
        <w:pStyle w:val="BodyText"/>
        <w:widowControl w:val="0"/>
        <w:numPr>
          <w:ilvl w:val="1"/>
          <w:numId w:val="21"/>
        </w:numPr>
        <w:tabs>
          <w:tab w:val="left" w:pos="820"/>
        </w:tabs>
        <w:kinsoku w:val="0"/>
        <w:overflowPunct w:val="0"/>
        <w:autoSpaceDE w:val="0"/>
        <w:autoSpaceDN w:val="0"/>
        <w:adjustRightInd w:val="0"/>
        <w:spacing w:line="254" w:lineRule="exact"/>
        <w:ind w:left="820" w:hanging="361"/>
        <w:rPr>
          <w:rFonts w:ascii="Times New Roman" w:eastAsia="Times New Roman" w:hAnsi="Times New Roman"/>
          <w:sz w:val="24"/>
          <w:szCs w:val="24"/>
        </w:rPr>
      </w:pPr>
      <w:hyperlink r:id="rId10" w:history="1">
        <w:r w:rsidR="007962F1" w:rsidRPr="004D12AE">
          <w:rPr>
            <w:rFonts w:ascii="Times New Roman" w:eastAsia="Times New Roman" w:hAnsi="Times New Roman"/>
            <w:sz w:val="24"/>
            <w:szCs w:val="24"/>
          </w:rPr>
          <w:t xml:space="preserve">UT Tyler Writing Center </w:t>
        </w:r>
      </w:hyperlink>
      <w:r w:rsidR="007962F1" w:rsidRPr="004D12AE">
        <w:rPr>
          <w:rFonts w:ascii="Times New Roman" w:eastAsia="Times New Roman" w:hAnsi="Times New Roman"/>
          <w:sz w:val="24"/>
          <w:szCs w:val="24"/>
        </w:rPr>
        <w:t xml:space="preserve">(903.565.5995), </w:t>
      </w:r>
      <w:hyperlink r:id="rId11" w:history="1">
        <w:r w:rsidR="007962F1" w:rsidRPr="004D12AE">
          <w:rPr>
            <w:rFonts w:ascii="Times New Roman" w:eastAsia="Times New Roman" w:hAnsi="Times New Roman"/>
            <w:sz w:val="24"/>
            <w:szCs w:val="24"/>
          </w:rPr>
          <w:t>writingcenter@uttyler.edu</w:t>
        </w:r>
      </w:hyperlink>
    </w:p>
    <w:p w14:paraId="36DB551B" w14:textId="77777777" w:rsidR="007962F1" w:rsidRPr="004D12AE" w:rsidRDefault="00000000" w:rsidP="007962F1">
      <w:pPr>
        <w:pStyle w:val="BodyText"/>
        <w:widowControl w:val="0"/>
        <w:numPr>
          <w:ilvl w:val="1"/>
          <w:numId w:val="21"/>
        </w:numPr>
        <w:tabs>
          <w:tab w:val="left" w:pos="820"/>
        </w:tabs>
        <w:kinsoku w:val="0"/>
        <w:overflowPunct w:val="0"/>
        <w:autoSpaceDE w:val="0"/>
        <w:autoSpaceDN w:val="0"/>
        <w:adjustRightInd w:val="0"/>
        <w:spacing w:before="2"/>
        <w:ind w:left="820" w:hanging="361"/>
        <w:rPr>
          <w:rFonts w:ascii="Times New Roman" w:eastAsia="Times New Roman" w:hAnsi="Times New Roman"/>
          <w:sz w:val="24"/>
          <w:szCs w:val="24"/>
        </w:rPr>
      </w:pPr>
      <w:hyperlink r:id="rId12" w:history="1">
        <w:r w:rsidR="007962F1" w:rsidRPr="004D12AE">
          <w:rPr>
            <w:rFonts w:ascii="Times New Roman" w:eastAsia="Times New Roman" w:hAnsi="Times New Roman"/>
            <w:sz w:val="24"/>
            <w:szCs w:val="24"/>
          </w:rPr>
          <w:t xml:space="preserve">UT Tyler Tutoring Center </w:t>
        </w:r>
      </w:hyperlink>
      <w:r w:rsidR="007962F1" w:rsidRPr="004D12AE">
        <w:rPr>
          <w:rFonts w:ascii="Times New Roman" w:eastAsia="Times New Roman" w:hAnsi="Times New Roman"/>
          <w:sz w:val="24"/>
          <w:szCs w:val="24"/>
        </w:rPr>
        <w:t xml:space="preserve">(903.565.5964), </w:t>
      </w:r>
      <w:hyperlink r:id="rId13" w:history="1">
        <w:r w:rsidR="007962F1" w:rsidRPr="004D12AE">
          <w:rPr>
            <w:rFonts w:ascii="Times New Roman" w:eastAsia="Times New Roman" w:hAnsi="Times New Roman"/>
            <w:sz w:val="24"/>
            <w:szCs w:val="24"/>
          </w:rPr>
          <w:t>tutoring@uttyler.edu</w:t>
        </w:r>
      </w:hyperlink>
    </w:p>
    <w:p w14:paraId="175CBA96" w14:textId="77777777" w:rsidR="007962F1" w:rsidRPr="004D12AE" w:rsidRDefault="007962F1" w:rsidP="007962F1">
      <w:pPr>
        <w:pStyle w:val="BodyText"/>
        <w:widowControl w:val="0"/>
        <w:numPr>
          <w:ilvl w:val="1"/>
          <w:numId w:val="21"/>
        </w:numPr>
        <w:tabs>
          <w:tab w:val="left" w:pos="820"/>
        </w:tabs>
        <w:kinsoku w:val="0"/>
        <w:overflowPunct w:val="0"/>
        <w:autoSpaceDE w:val="0"/>
        <w:autoSpaceDN w:val="0"/>
        <w:adjustRightInd w:val="0"/>
        <w:spacing w:before="7" w:line="242" w:lineRule="exact"/>
        <w:ind w:left="820" w:right="244" w:hanging="361"/>
        <w:rPr>
          <w:rFonts w:ascii="Times New Roman" w:eastAsia="Times New Roman" w:hAnsi="Times New Roman"/>
          <w:sz w:val="24"/>
          <w:szCs w:val="24"/>
        </w:rPr>
      </w:pPr>
      <w:r w:rsidRPr="004D12AE">
        <w:rPr>
          <w:rFonts w:ascii="Times New Roman" w:eastAsia="Times New Roman" w:hAnsi="Times New Roman"/>
          <w:sz w:val="24"/>
          <w:szCs w:val="24"/>
        </w:rPr>
        <w:t>The Mathematics Learning Center, RBN 4021, this is the open access computer lab for math students, with tutors on duty to assist students who are enrolled in early-career courses.</w:t>
      </w:r>
    </w:p>
    <w:p w14:paraId="5B6ED4CC" w14:textId="77777777" w:rsidR="007962F1" w:rsidRPr="004D12AE" w:rsidRDefault="00000000" w:rsidP="007962F1">
      <w:pPr>
        <w:pStyle w:val="BodyText"/>
        <w:widowControl w:val="0"/>
        <w:numPr>
          <w:ilvl w:val="1"/>
          <w:numId w:val="21"/>
        </w:numPr>
        <w:tabs>
          <w:tab w:val="left" w:pos="820"/>
        </w:tabs>
        <w:kinsoku w:val="0"/>
        <w:overflowPunct w:val="0"/>
        <w:autoSpaceDE w:val="0"/>
        <w:autoSpaceDN w:val="0"/>
        <w:adjustRightInd w:val="0"/>
        <w:spacing w:before="7"/>
        <w:ind w:left="820" w:hanging="361"/>
        <w:rPr>
          <w:rFonts w:ascii="Times New Roman" w:eastAsia="Times New Roman" w:hAnsi="Times New Roman"/>
          <w:sz w:val="24"/>
          <w:szCs w:val="24"/>
        </w:rPr>
      </w:pPr>
      <w:hyperlink r:id="rId14" w:history="1">
        <w:r w:rsidR="007962F1" w:rsidRPr="004D12AE">
          <w:rPr>
            <w:rFonts w:ascii="Times New Roman" w:eastAsia="Times New Roman" w:hAnsi="Times New Roman"/>
            <w:sz w:val="24"/>
            <w:szCs w:val="24"/>
          </w:rPr>
          <w:t xml:space="preserve">UT Tyler Counseling Center </w:t>
        </w:r>
      </w:hyperlink>
      <w:r w:rsidR="007962F1" w:rsidRPr="004D12AE">
        <w:rPr>
          <w:rFonts w:ascii="Times New Roman" w:eastAsia="Times New Roman" w:hAnsi="Times New Roman"/>
          <w:sz w:val="24"/>
          <w:szCs w:val="24"/>
        </w:rPr>
        <w:t>(903.566.7254)</w:t>
      </w:r>
    </w:p>
    <w:p w14:paraId="4D86AC97" w14:textId="77777777" w:rsidR="00A62E1C" w:rsidRPr="004D12AE" w:rsidRDefault="00A62E1C" w:rsidP="00A62E1C"/>
    <w:p w14:paraId="4297EDB4" w14:textId="77777777" w:rsidR="00473DB8" w:rsidRPr="004D12AE" w:rsidRDefault="00473DB8" w:rsidP="00A62E1C"/>
    <w:p w14:paraId="75DD8CF6" w14:textId="02CF20C7" w:rsidR="00A62E1C" w:rsidRDefault="00E045F8" w:rsidP="00A62E1C">
      <w:r>
        <w:t xml:space="preserve"> </w:t>
      </w:r>
      <w:r w:rsidR="00A62E1C">
        <w:t xml:space="preserve"> </w:t>
      </w:r>
    </w:p>
    <w:sectPr w:rsidR="00A62E1C" w:rsidSect="00A62E1C">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BC68" w14:textId="77777777" w:rsidR="003018DA" w:rsidRDefault="003018DA">
      <w:r>
        <w:separator/>
      </w:r>
    </w:p>
  </w:endnote>
  <w:endnote w:type="continuationSeparator" w:id="0">
    <w:p w14:paraId="3449BEDA" w14:textId="77777777" w:rsidR="003018DA" w:rsidRDefault="0030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LatoWeb">
    <w:altName w:val="Times New Roman"/>
    <w:panose1 w:val="020B0604020202020204"/>
    <w:charset w:val="00"/>
    <w:family w:val="auto"/>
    <w:pitch w:val="default"/>
  </w:font>
  <w:font w:name="-webkit-standar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C3F7" w14:textId="77777777" w:rsidR="005F147E" w:rsidRDefault="005F147E" w:rsidP="003874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56849E" w14:textId="77777777" w:rsidR="005F147E" w:rsidRDefault="005F147E" w:rsidP="00FD7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637B" w14:textId="77777777" w:rsidR="005F147E" w:rsidRDefault="005F147E" w:rsidP="003874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4155">
      <w:rPr>
        <w:rStyle w:val="PageNumber"/>
        <w:noProof/>
      </w:rPr>
      <w:t>15</w:t>
    </w:r>
    <w:r>
      <w:rPr>
        <w:rStyle w:val="PageNumber"/>
      </w:rPr>
      <w:fldChar w:fldCharType="end"/>
    </w:r>
  </w:p>
  <w:p w14:paraId="317E50AF" w14:textId="77777777" w:rsidR="005F147E" w:rsidRDefault="005F147E" w:rsidP="00FD73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55CF" w14:textId="77777777" w:rsidR="003018DA" w:rsidRDefault="003018DA">
      <w:r>
        <w:separator/>
      </w:r>
    </w:p>
  </w:footnote>
  <w:footnote w:type="continuationSeparator" w:id="0">
    <w:p w14:paraId="139FB0EB" w14:textId="77777777" w:rsidR="003018DA" w:rsidRDefault="00301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361"/>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361"/>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1"/>
      </w:pPr>
      <w:rPr>
        <w:rFonts w:ascii="Symbol" w:hAnsi="Symbol" w:cs="Symbol"/>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lowerRoman"/>
      <w:lvlText w:val="%1."/>
      <w:lvlJc w:val="left"/>
      <w:pPr>
        <w:ind w:hanging="455"/>
      </w:pPr>
      <w:rPr>
        <w:rFonts w:ascii="Calibri Light" w:hAnsi="Calibri Light" w:cs="Calibri Light"/>
        <w:b w:val="0"/>
        <w:bCs w:val="0"/>
        <w:spacing w:val="-1"/>
        <w:w w:val="99"/>
        <w:sz w:val="20"/>
        <w:szCs w:val="20"/>
      </w:rPr>
    </w:lvl>
    <w:lvl w:ilvl="1">
      <w:numFmt w:val="bullet"/>
      <w:lvlText w:val=""/>
      <w:lvlJc w:val="left"/>
      <w:pPr>
        <w:ind w:hanging="360"/>
      </w:pPr>
      <w:rPr>
        <w:rFonts w:ascii="Symbol" w:hAnsi="Symbol" w:cs="Symbol"/>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6437BB"/>
    <w:multiLevelType w:val="hybridMultilevel"/>
    <w:tmpl w:val="0506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986D9F"/>
    <w:multiLevelType w:val="hybridMultilevel"/>
    <w:tmpl w:val="F59C1BEA"/>
    <w:lvl w:ilvl="0" w:tplc="057E1A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1A7C2E"/>
    <w:multiLevelType w:val="hybridMultilevel"/>
    <w:tmpl w:val="E6AC1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0B74DB"/>
    <w:multiLevelType w:val="hybridMultilevel"/>
    <w:tmpl w:val="74183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7767BF"/>
    <w:multiLevelType w:val="hybridMultilevel"/>
    <w:tmpl w:val="F1E802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754E97"/>
    <w:multiLevelType w:val="hybridMultilevel"/>
    <w:tmpl w:val="8A6A7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97C9F"/>
    <w:multiLevelType w:val="hybridMultilevel"/>
    <w:tmpl w:val="5764E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E22AE4"/>
    <w:multiLevelType w:val="hybridMultilevel"/>
    <w:tmpl w:val="35B265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FFA6AFD"/>
    <w:multiLevelType w:val="hybridMultilevel"/>
    <w:tmpl w:val="5C4893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0F21580"/>
    <w:multiLevelType w:val="hybridMultilevel"/>
    <w:tmpl w:val="E8BAA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B030E"/>
    <w:multiLevelType w:val="singleLevel"/>
    <w:tmpl w:val="E1F88578"/>
    <w:lvl w:ilvl="0">
      <w:start w:val="1"/>
      <w:numFmt w:val="upperRoman"/>
      <w:pStyle w:val="Heading3"/>
      <w:lvlText w:val="%1."/>
      <w:lvlJc w:val="left"/>
      <w:pPr>
        <w:tabs>
          <w:tab w:val="num" w:pos="720"/>
        </w:tabs>
        <w:ind w:left="720" w:hanging="720"/>
      </w:pPr>
      <w:rPr>
        <w:rFonts w:hint="default"/>
      </w:rPr>
    </w:lvl>
  </w:abstractNum>
  <w:abstractNum w:abstractNumId="15" w15:restartNumberingAfterBreak="0">
    <w:nsid w:val="31D15CD9"/>
    <w:multiLevelType w:val="multilevel"/>
    <w:tmpl w:val="5D842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CA664C"/>
    <w:multiLevelType w:val="hybridMultilevel"/>
    <w:tmpl w:val="15DCD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C729B"/>
    <w:multiLevelType w:val="hybridMultilevel"/>
    <w:tmpl w:val="02BC5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309E9"/>
    <w:multiLevelType w:val="hybridMultilevel"/>
    <w:tmpl w:val="D6CE3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BB2F9D"/>
    <w:multiLevelType w:val="hybridMultilevel"/>
    <w:tmpl w:val="A558A2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ED0921"/>
    <w:multiLevelType w:val="hybridMultilevel"/>
    <w:tmpl w:val="E362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C1C70"/>
    <w:multiLevelType w:val="hybridMultilevel"/>
    <w:tmpl w:val="446C4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60BD1"/>
    <w:multiLevelType w:val="multilevel"/>
    <w:tmpl w:val="05086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92156"/>
    <w:multiLevelType w:val="multilevel"/>
    <w:tmpl w:val="2D5EE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059CB"/>
    <w:multiLevelType w:val="multilevel"/>
    <w:tmpl w:val="FE523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3A67A7"/>
    <w:multiLevelType w:val="hybridMultilevel"/>
    <w:tmpl w:val="8620E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507C1"/>
    <w:multiLevelType w:val="hybridMultilevel"/>
    <w:tmpl w:val="CDE8F5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244723"/>
    <w:multiLevelType w:val="hybridMultilevel"/>
    <w:tmpl w:val="90F81F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D35C45"/>
    <w:multiLevelType w:val="hybridMultilevel"/>
    <w:tmpl w:val="FF3EA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8388185">
    <w:abstractNumId w:val="17"/>
  </w:num>
  <w:num w:numId="2" w16cid:durableId="1390961356">
    <w:abstractNumId w:val="18"/>
  </w:num>
  <w:num w:numId="3" w16cid:durableId="815682852">
    <w:abstractNumId w:val="26"/>
  </w:num>
  <w:num w:numId="4" w16cid:durableId="339892907">
    <w:abstractNumId w:val="21"/>
  </w:num>
  <w:num w:numId="5" w16cid:durableId="845706563">
    <w:abstractNumId w:val="6"/>
  </w:num>
  <w:num w:numId="6" w16cid:durableId="1120220539">
    <w:abstractNumId w:val="25"/>
  </w:num>
  <w:num w:numId="7" w16cid:durableId="899094816">
    <w:abstractNumId w:val="7"/>
  </w:num>
  <w:num w:numId="8" w16cid:durableId="1900702813">
    <w:abstractNumId w:val="9"/>
  </w:num>
  <w:num w:numId="9" w16cid:durableId="948049777">
    <w:abstractNumId w:val="11"/>
  </w:num>
  <w:num w:numId="10" w16cid:durableId="267976863">
    <w:abstractNumId w:val="14"/>
  </w:num>
  <w:num w:numId="11" w16cid:durableId="505366689">
    <w:abstractNumId w:val="12"/>
  </w:num>
  <w:num w:numId="12" w16cid:durableId="979656838">
    <w:abstractNumId w:val="20"/>
  </w:num>
  <w:num w:numId="13" w16cid:durableId="183327067">
    <w:abstractNumId w:val="5"/>
  </w:num>
  <w:num w:numId="14" w16cid:durableId="2006974930">
    <w:abstractNumId w:val="10"/>
  </w:num>
  <w:num w:numId="15" w16cid:durableId="628628711">
    <w:abstractNumId w:val="28"/>
  </w:num>
  <w:num w:numId="16" w16cid:durableId="1539001640">
    <w:abstractNumId w:val="27"/>
  </w:num>
  <w:num w:numId="17" w16cid:durableId="1661302350">
    <w:abstractNumId w:val="8"/>
  </w:num>
  <w:num w:numId="18" w16cid:durableId="110442805">
    <w:abstractNumId w:val="19"/>
  </w:num>
  <w:num w:numId="19" w16cid:durableId="1003703139">
    <w:abstractNumId w:val="13"/>
  </w:num>
  <w:num w:numId="20" w16cid:durableId="471289038">
    <w:abstractNumId w:val="4"/>
  </w:num>
  <w:num w:numId="21" w16cid:durableId="1448543933">
    <w:abstractNumId w:val="3"/>
  </w:num>
  <w:num w:numId="22" w16cid:durableId="1726492920">
    <w:abstractNumId w:val="2"/>
  </w:num>
  <w:num w:numId="23" w16cid:durableId="58752666">
    <w:abstractNumId w:val="1"/>
  </w:num>
  <w:num w:numId="24" w16cid:durableId="516425408">
    <w:abstractNumId w:val="0"/>
  </w:num>
  <w:num w:numId="25" w16cid:durableId="767770968">
    <w:abstractNumId w:val="16"/>
  </w:num>
  <w:num w:numId="26" w16cid:durableId="889263144">
    <w:abstractNumId w:val="23"/>
  </w:num>
  <w:num w:numId="27" w16cid:durableId="2016416340">
    <w:abstractNumId w:val="22"/>
  </w:num>
  <w:num w:numId="28" w16cid:durableId="1431388667">
    <w:abstractNumId w:val="15"/>
  </w:num>
  <w:num w:numId="29" w16cid:durableId="19443414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7F"/>
    <w:rsid w:val="000066AB"/>
    <w:rsid w:val="00007030"/>
    <w:rsid w:val="00007FE8"/>
    <w:rsid w:val="000125C7"/>
    <w:rsid w:val="000329B1"/>
    <w:rsid w:val="0004399C"/>
    <w:rsid w:val="00052E32"/>
    <w:rsid w:val="00054E46"/>
    <w:rsid w:val="00093DE3"/>
    <w:rsid w:val="000B23C6"/>
    <w:rsid w:val="000B7ECA"/>
    <w:rsid w:val="000C278D"/>
    <w:rsid w:val="000D6FAF"/>
    <w:rsid w:val="000E5A39"/>
    <w:rsid w:val="00106C88"/>
    <w:rsid w:val="00126DB7"/>
    <w:rsid w:val="00152E8A"/>
    <w:rsid w:val="00163049"/>
    <w:rsid w:val="00163739"/>
    <w:rsid w:val="0017668A"/>
    <w:rsid w:val="001850D1"/>
    <w:rsid w:val="00196D75"/>
    <w:rsid w:val="001A2A1F"/>
    <w:rsid w:val="001B64ED"/>
    <w:rsid w:val="001D1670"/>
    <w:rsid w:val="001D24B4"/>
    <w:rsid w:val="001D3F07"/>
    <w:rsid w:val="001E1C7A"/>
    <w:rsid w:val="001F2AE9"/>
    <w:rsid w:val="00211A05"/>
    <w:rsid w:val="00213060"/>
    <w:rsid w:val="00223748"/>
    <w:rsid w:val="0022641F"/>
    <w:rsid w:val="002446CE"/>
    <w:rsid w:val="00270B97"/>
    <w:rsid w:val="00275E8D"/>
    <w:rsid w:val="00291EE3"/>
    <w:rsid w:val="002A3097"/>
    <w:rsid w:val="002B75FD"/>
    <w:rsid w:val="002D22E7"/>
    <w:rsid w:val="002E3928"/>
    <w:rsid w:val="002E565C"/>
    <w:rsid w:val="002E5D26"/>
    <w:rsid w:val="002E5D9D"/>
    <w:rsid w:val="002F0A0D"/>
    <w:rsid w:val="002F2980"/>
    <w:rsid w:val="002F2A02"/>
    <w:rsid w:val="002F4391"/>
    <w:rsid w:val="002F5A9F"/>
    <w:rsid w:val="003018DA"/>
    <w:rsid w:val="00303255"/>
    <w:rsid w:val="003155FA"/>
    <w:rsid w:val="00324D9F"/>
    <w:rsid w:val="0033389D"/>
    <w:rsid w:val="00336443"/>
    <w:rsid w:val="00361A96"/>
    <w:rsid w:val="0036754C"/>
    <w:rsid w:val="003763FD"/>
    <w:rsid w:val="00387492"/>
    <w:rsid w:val="00393487"/>
    <w:rsid w:val="00394B8A"/>
    <w:rsid w:val="003B3431"/>
    <w:rsid w:val="003B5F18"/>
    <w:rsid w:val="003D43A2"/>
    <w:rsid w:val="003D712F"/>
    <w:rsid w:val="003E0BE4"/>
    <w:rsid w:val="003E7405"/>
    <w:rsid w:val="003F6AD7"/>
    <w:rsid w:val="00406EEB"/>
    <w:rsid w:val="00411914"/>
    <w:rsid w:val="00412269"/>
    <w:rsid w:val="00420581"/>
    <w:rsid w:val="0042077F"/>
    <w:rsid w:val="00431498"/>
    <w:rsid w:val="00440D10"/>
    <w:rsid w:val="00444169"/>
    <w:rsid w:val="00445A3E"/>
    <w:rsid w:val="0044759D"/>
    <w:rsid w:val="00465736"/>
    <w:rsid w:val="00473DB8"/>
    <w:rsid w:val="00475887"/>
    <w:rsid w:val="00487CB6"/>
    <w:rsid w:val="00490B8F"/>
    <w:rsid w:val="00492F15"/>
    <w:rsid w:val="00494980"/>
    <w:rsid w:val="00495BB5"/>
    <w:rsid w:val="004A2704"/>
    <w:rsid w:val="004A30B9"/>
    <w:rsid w:val="004A5DCD"/>
    <w:rsid w:val="004A78C0"/>
    <w:rsid w:val="004B1BD4"/>
    <w:rsid w:val="004B76BB"/>
    <w:rsid w:val="004C59EF"/>
    <w:rsid w:val="004D12AE"/>
    <w:rsid w:val="004D143E"/>
    <w:rsid w:val="004D525A"/>
    <w:rsid w:val="004E02F5"/>
    <w:rsid w:val="0050234B"/>
    <w:rsid w:val="005605FA"/>
    <w:rsid w:val="00573B3B"/>
    <w:rsid w:val="00581FE8"/>
    <w:rsid w:val="0058265D"/>
    <w:rsid w:val="00592259"/>
    <w:rsid w:val="005B2B1E"/>
    <w:rsid w:val="005C222B"/>
    <w:rsid w:val="005C4E60"/>
    <w:rsid w:val="005D31F0"/>
    <w:rsid w:val="005D7433"/>
    <w:rsid w:val="005E44BE"/>
    <w:rsid w:val="005E705F"/>
    <w:rsid w:val="005E76FC"/>
    <w:rsid w:val="005F147E"/>
    <w:rsid w:val="005F7F64"/>
    <w:rsid w:val="00602336"/>
    <w:rsid w:val="0061665F"/>
    <w:rsid w:val="00632D98"/>
    <w:rsid w:val="00636E13"/>
    <w:rsid w:val="00640609"/>
    <w:rsid w:val="00655B6A"/>
    <w:rsid w:val="00665C54"/>
    <w:rsid w:val="00674D80"/>
    <w:rsid w:val="00675E23"/>
    <w:rsid w:val="00680F7E"/>
    <w:rsid w:val="006827A6"/>
    <w:rsid w:val="00687BF5"/>
    <w:rsid w:val="00696B14"/>
    <w:rsid w:val="006B01DB"/>
    <w:rsid w:val="006B1D06"/>
    <w:rsid w:val="006C448A"/>
    <w:rsid w:val="006F08B3"/>
    <w:rsid w:val="007167CE"/>
    <w:rsid w:val="00725A57"/>
    <w:rsid w:val="007329A1"/>
    <w:rsid w:val="00753AB0"/>
    <w:rsid w:val="00760ABA"/>
    <w:rsid w:val="00767643"/>
    <w:rsid w:val="00775C01"/>
    <w:rsid w:val="007962F1"/>
    <w:rsid w:val="007A4F50"/>
    <w:rsid w:val="007A62B8"/>
    <w:rsid w:val="007C54FF"/>
    <w:rsid w:val="007D1934"/>
    <w:rsid w:val="007D5158"/>
    <w:rsid w:val="007F2B7F"/>
    <w:rsid w:val="008016BD"/>
    <w:rsid w:val="008066AC"/>
    <w:rsid w:val="008324EB"/>
    <w:rsid w:val="00867B11"/>
    <w:rsid w:val="008B7385"/>
    <w:rsid w:val="008B775F"/>
    <w:rsid w:val="008C092C"/>
    <w:rsid w:val="008D3C04"/>
    <w:rsid w:val="008E250C"/>
    <w:rsid w:val="008E6737"/>
    <w:rsid w:val="00900E81"/>
    <w:rsid w:val="00912A87"/>
    <w:rsid w:val="00915FD4"/>
    <w:rsid w:val="00922221"/>
    <w:rsid w:val="00933748"/>
    <w:rsid w:val="009356BA"/>
    <w:rsid w:val="0094243D"/>
    <w:rsid w:val="00947E31"/>
    <w:rsid w:val="00952BEE"/>
    <w:rsid w:val="00956BD5"/>
    <w:rsid w:val="00962A63"/>
    <w:rsid w:val="0096679D"/>
    <w:rsid w:val="00970706"/>
    <w:rsid w:val="00980A0F"/>
    <w:rsid w:val="0098195D"/>
    <w:rsid w:val="0099039F"/>
    <w:rsid w:val="00992E31"/>
    <w:rsid w:val="009A3F81"/>
    <w:rsid w:val="009B5735"/>
    <w:rsid w:val="009B6B7E"/>
    <w:rsid w:val="009C547A"/>
    <w:rsid w:val="009D1BE3"/>
    <w:rsid w:val="009E5250"/>
    <w:rsid w:val="00A06340"/>
    <w:rsid w:val="00A1228B"/>
    <w:rsid w:val="00A20B18"/>
    <w:rsid w:val="00A30FC4"/>
    <w:rsid w:val="00A31CD1"/>
    <w:rsid w:val="00A3316C"/>
    <w:rsid w:val="00A37DBF"/>
    <w:rsid w:val="00A436CB"/>
    <w:rsid w:val="00A467BB"/>
    <w:rsid w:val="00A52C26"/>
    <w:rsid w:val="00A53588"/>
    <w:rsid w:val="00A559E1"/>
    <w:rsid w:val="00A62E1C"/>
    <w:rsid w:val="00A67E8D"/>
    <w:rsid w:val="00A90791"/>
    <w:rsid w:val="00AA7145"/>
    <w:rsid w:val="00AB3230"/>
    <w:rsid w:val="00AF2365"/>
    <w:rsid w:val="00B008F2"/>
    <w:rsid w:val="00B0149B"/>
    <w:rsid w:val="00B054D4"/>
    <w:rsid w:val="00B12C30"/>
    <w:rsid w:val="00B242BC"/>
    <w:rsid w:val="00B24BCD"/>
    <w:rsid w:val="00B25740"/>
    <w:rsid w:val="00B37329"/>
    <w:rsid w:val="00B37C34"/>
    <w:rsid w:val="00B419E2"/>
    <w:rsid w:val="00B475A8"/>
    <w:rsid w:val="00B47F50"/>
    <w:rsid w:val="00B5226C"/>
    <w:rsid w:val="00B73F06"/>
    <w:rsid w:val="00B75C17"/>
    <w:rsid w:val="00B8356A"/>
    <w:rsid w:val="00B83833"/>
    <w:rsid w:val="00B927D7"/>
    <w:rsid w:val="00B938D9"/>
    <w:rsid w:val="00BA0CFE"/>
    <w:rsid w:val="00BC2919"/>
    <w:rsid w:val="00BD65B7"/>
    <w:rsid w:val="00BE2148"/>
    <w:rsid w:val="00BE4265"/>
    <w:rsid w:val="00C01F6C"/>
    <w:rsid w:val="00C17B10"/>
    <w:rsid w:val="00C65028"/>
    <w:rsid w:val="00C75EA9"/>
    <w:rsid w:val="00C936F7"/>
    <w:rsid w:val="00CF2D7E"/>
    <w:rsid w:val="00CF3DC9"/>
    <w:rsid w:val="00CF7764"/>
    <w:rsid w:val="00D0597B"/>
    <w:rsid w:val="00D37055"/>
    <w:rsid w:val="00D44A25"/>
    <w:rsid w:val="00D52B6F"/>
    <w:rsid w:val="00D57F56"/>
    <w:rsid w:val="00D710A6"/>
    <w:rsid w:val="00D91568"/>
    <w:rsid w:val="00DA308B"/>
    <w:rsid w:val="00DD2589"/>
    <w:rsid w:val="00DF1D00"/>
    <w:rsid w:val="00E01FFD"/>
    <w:rsid w:val="00E045F8"/>
    <w:rsid w:val="00E271CA"/>
    <w:rsid w:val="00E55D0B"/>
    <w:rsid w:val="00E67BE4"/>
    <w:rsid w:val="00E73108"/>
    <w:rsid w:val="00E8037B"/>
    <w:rsid w:val="00E903A4"/>
    <w:rsid w:val="00E91310"/>
    <w:rsid w:val="00E948AA"/>
    <w:rsid w:val="00E97A0A"/>
    <w:rsid w:val="00EC7DB1"/>
    <w:rsid w:val="00ED07A0"/>
    <w:rsid w:val="00ED515C"/>
    <w:rsid w:val="00F0001C"/>
    <w:rsid w:val="00F04F60"/>
    <w:rsid w:val="00F20A77"/>
    <w:rsid w:val="00F20EC1"/>
    <w:rsid w:val="00F25923"/>
    <w:rsid w:val="00F31CEE"/>
    <w:rsid w:val="00F33DB2"/>
    <w:rsid w:val="00F37B7F"/>
    <w:rsid w:val="00F434C3"/>
    <w:rsid w:val="00F43DD2"/>
    <w:rsid w:val="00F46111"/>
    <w:rsid w:val="00F62392"/>
    <w:rsid w:val="00F82582"/>
    <w:rsid w:val="00FD117E"/>
    <w:rsid w:val="00FD7342"/>
    <w:rsid w:val="00FE4155"/>
    <w:rsid w:val="00FE5920"/>
    <w:rsid w:val="00FF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95BC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1"/>
    <w:qFormat/>
    <w:rsid w:val="007962F1"/>
    <w:pPr>
      <w:widowControl w:val="0"/>
      <w:autoSpaceDE w:val="0"/>
      <w:autoSpaceDN w:val="0"/>
      <w:adjustRightInd w:val="0"/>
      <w:ind w:left="828" w:hanging="361"/>
      <w:outlineLvl w:val="0"/>
    </w:pPr>
    <w:rPr>
      <w:rFonts w:ascii="Calibri" w:hAnsi="Calibri" w:cs="Calibri"/>
      <w:sz w:val="22"/>
      <w:szCs w:val="22"/>
      <w:lang w:eastAsia="zh-CN"/>
    </w:rPr>
  </w:style>
  <w:style w:type="paragraph" w:styleId="Heading3">
    <w:name w:val="heading 3"/>
    <w:basedOn w:val="Normal"/>
    <w:next w:val="Normal"/>
    <w:link w:val="Heading3Char"/>
    <w:qFormat/>
    <w:rsid w:val="008E6737"/>
    <w:pPr>
      <w:keepNext/>
      <w:numPr>
        <w:numId w:val="10"/>
      </w:numPr>
      <w:outlineLvl w:val="2"/>
    </w:pPr>
    <w:rPr>
      <w:rFonts w:ascii="Comic Sans MS" w:hAnsi="Comic Sans MS"/>
      <w:b/>
      <w:sz w:val="20"/>
      <w:szCs w:val="20"/>
    </w:rPr>
  </w:style>
  <w:style w:type="paragraph" w:styleId="Heading4">
    <w:name w:val="heading 4"/>
    <w:basedOn w:val="Normal"/>
    <w:next w:val="Normal"/>
    <w:link w:val="Heading4Char"/>
    <w:qFormat/>
    <w:rsid w:val="008E6737"/>
    <w:pPr>
      <w:keepNext/>
      <w:ind w:left="360"/>
      <w:jc w:val="center"/>
      <w:outlineLvl w:val="3"/>
    </w:pPr>
    <w:rPr>
      <w:rFonts w:ascii="Arial" w:hAnsi="Arial"/>
      <w:b/>
      <w:sz w:val="22"/>
      <w:szCs w:val="20"/>
    </w:rPr>
  </w:style>
  <w:style w:type="paragraph" w:styleId="Heading5">
    <w:name w:val="heading 5"/>
    <w:basedOn w:val="Normal"/>
    <w:next w:val="Normal"/>
    <w:link w:val="Heading5Char"/>
    <w:qFormat/>
    <w:rsid w:val="00361A96"/>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61A9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D7342"/>
    <w:pPr>
      <w:tabs>
        <w:tab w:val="center" w:pos="4320"/>
        <w:tab w:val="right" w:pos="8640"/>
      </w:tabs>
    </w:pPr>
  </w:style>
  <w:style w:type="character" w:styleId="PageNumber">
    <w:name w:val="page number"/>
    <w:basedOn w:val="DefaultParagraphFont"/>
    <w:rsid w:val="00FD7342"/>
  </w:style>
  <w:style w:type="character" w:styleId="Hyperlink">
    <w:name w:val="Hyperlink"/>
    <w:rsid w:val="00632D98"/>
    <w:rPr>
      <w:color w:val="0000FF"/>
      <w:u w:val="single"/>
    </w:rPr>
  </w:style>
  <w:style w:type="character" w:customStyle="1" w:styleId="Heading3Char">
    <w:name w:val="Heading 3 Char"/>
    <w:link w:val="Heading3"/>
    <w:rsid w:val="008E6737"/>
    <w:rPr>
      <w:rFonts w:ascii="Comic Sans MS" w:eastAsia="SimSun" w:hAnsi="Comic Sans MS"/>
      <w:b/>
      <w:lang w:eastAsia="en-US"/>
    </w:rPr>
  </w:style>
  <w:style w:type="character" w:customStyle="1" w:styleId="Heading4Char">
    <w:name w:val="Heading 4 Char"/>
    <w:link w:val="Heading4"/>
    <w:rsid w:val="008E6737"/>
    <w:rPr>
      <w:rFonts w:ascii="Arial" w:eastAsia="SimSun" w:hAnsi="Arial"/>
      <w:b/>
      <w:sz w:val="22"/>
      <w:lang w:eastAsia="en-US"/>
    </w:rPr>
  </w:style>
  <w:style w:type="paragraph" w:styleId="BodyText">
    <w:name w:val="Body Text"/>
    <w:basedOn w:val="Normal"/>
    <w:link w:val="BodyTextChar"/>
    <w:uiPriority w:val="1"/>
    <w:qFormat/>
    <w:rsid w:val="008E6737"/>
    <w:rPr>
      <w:rFonts w:ascii="Arial" w:hAnsi="Arial"/>
      <w:sz w:val="22"/>
      <w:szCs w:val="20"/>
    </w:rPr>
  </w:style>
  <w:style w:type="character" w:customStyle="1" w:styleId="BodyTextChar">
    <w:name w:val="Body Text Char"/>
    <w:link w:val="BodyText"/>
    <w:uiPriority w:val="1"/>
    <w:rsid w:val="008E6737"/>
    <w:rPr>
      <w:rFonts w:ascii="Arial" w:eastAsia="SimSun" w:hAnsi="Arial"/>
      <w:sz w:val="22"/>
      <w:lang w:eastAsia="en-US"/>
    </w:rPr>
  </w:style>
  <w:style w:type="character" w:customStyle="1" w:styleId="Heading5Char">
    <w:name w:val="Heading 5 Char"/>
    <w:link w:val="Heading5"/>
    <w:semiHidden/>
    <w:rsid w:val="00361A96"/>
    <w:rPr>
      <w:rFonts w:ascii="Calibri" w:eastAsia="SimSun" w:hAnsi="Calibri" w:cs="Times New Roman"/>
      <w:b/>
      <w:bCs/>
      <w:i/>
      <w:iCs/>
      <w:sz w:val="26"/>
      <w:szCs w:val="26"/>
      <w:lang w:eastAsia="en-US"/>
    </w:rPr>
  </w:style>
  <w:style w:type="character" w:customStyle="1" w:styleId="Heading6Char">
    <w:name w:val="Heading 6 Char"/>
    <w:link w:val="Heading6"/>
    <w:semiHidden/>
    <w:rsid w:val="00361A96"/>
    <w:rPr>
      <w:rFonts w:ascii="Calibri" w:eastAsia="SimSun" w:hAnsi="Calibri" w:cs="Times New Roman"/>
      <w:b/>
      <w:bCs/>
      <w:sz w:val="22"/>
      <w:szCs w:val="22"/>
      <w:lang w:eastAsia="en-US"/>
    </w:rPr>
  </w:style>
  <w:style w:type="paragraph" w:customStyle="1" w:styleId="references">
    <w:name w:val="references"/>
    <w:basedOn w:val="Normal"/>
    <w:rsid w:val="0058265D"/>
    <w:pPr>
      <w:spacing w:line="360" w:lineRule="auto"/>
    </w:pPr>
    <w:rPr>
      <w:rFonts w:ascii="Arial" w:hAnsi="Arial"/>
      <w:sz w:val="22"/>
      <w:szCs w:val="20"/>
      <w:lang w:eastAsia="zh-CN"/>
    </w:rPr>
  </w:style>
  <w:style w:type="paragraph" w:styleId="BodyText2">
    <w:name w:val="Body Text 2"/>
    <w:basedOn w:val="Normal"/>
    <w:link w:val="BodyText2Char"/>
    <w:rsid w:val="0058265D"/>
    <w:pPr>
      <w:spacing w:after="120" w:line="480" w:lineRule="auto"/>
    </w:pPr>
    <w:rPr>
      <w:sz w:val="20"/>
      <w:szCs w:val="20"/>
    </w:rPr>
  </w:style>
  <w:style w:type="character" w:customStyle="1" w:styleId="BodyText2Char">
    <w:name w:val="Body Text 2 Char"/>
    <w:basedOn w:val="DefaultParagraphFont"/>
    <w:link w:val="BodyText2"/>
    <w:rsid w:val="0058265D"/>
    <w:rPr>
      <w:rFonts w:eastAsia="SimSun"/>
      <w:lang w:eastAsia="en-US"/>
    </w:rPr>
  </w:style>
  <w:style w:type="paragraph" w:styleId="BalloonText">
    <w:name w:val="Balloon Text"/>
    <w:basedOn w:val="Normal"/>
    <w:link w:val="BalloonTextChar"/>
    <w:rsid w:val="00465736"/>
    <w:rPr>
      <w:rFonts w:ascii="Tahoma" w:hAnsi="Tahoma" w:cs="Tahoma"/>
      <w:sz w:val="16"/>
      <w:szCs w:val="16"/>
    </w:rPr>
  </w:style>
  <w:style w:type="character" w:customStyle="1" w:styleId="BalloonTextChar">
    <w:name w:val="Balloon Text Char"/>
    <w:basedOn w:val="DefaultParagraphFont"/>
    <w:link w:val="BalloonText"/>
    <w:rsid w:val="00465736"/>
    <w:rPr>
      <w:rFonts w:ascii="Tahoma" w:hAnsi="Tahoma" w:cs="Tahoma"/>
      <w:sz w:val="16"/>
      <w:szCs w:val="16"/>
      <w:lang w:eastAsia="en-US"/>
    </w:rPr>
  </w:style>
  <w:style w:type="paragraph" w:styleId="Title">
    <w:name w:val="Title"/>
    <w:basedOn w:val="Normal"/>
    <w:link w:val="TitleChar"/>
    <w:qFormat/>
    <w:rsid w:val="002E5D26"/>
    <w:pPr>
      <w:jc w:val="center"/>
    </w:pPr>
    <w:rPr>
      <w:rFonts w:ascii="Arial" w:hAnsi="Arial"/>
      <w:b/>
      <w:sz w:val="28"/>
      <w:szCs w:val="20"/>
    </w:rPr>
  </w:style>
  <w:style w:type="character" w:customStyle="1" w:styleId="TitleChar">
    <w:name w:val="Title Char"/>
    <w:basedOn w:val="DefaultParagraphFont"/>
    <w:link w:val="Title"/>
    <w:rsid w:val="002E5D26"/>
    <w:rPr>
      <w:rFonts w:ascii="Arial" w:eastAsia="SimSun" w:hAnsi="Arial"/>
      <w:b/>
      <w:sz w:val="28"/>
      <w:lang w:eastAsia="en-US"/>
    </w:rPr>
  </w:style>
  <w:style w:type="character" w:styleId="PlaceholderText">
    <w:name w:val="Placeholder Text"/>
    <w:semiHidden/>
    <w:rsid w:val="002E5D26"/>
    <w:rPr>
      <w:color w:val="808080"/>
    </w:rPr>
  </w:style>
  <w:style w:type="character" w:customStyle="1" w:styleId="Heading1Char">
    <w:name w:val="Heading 1 Char"/>
    <w:basedOn w:val="DefaultParagraphFont"/>
    <w:link w:val="Heading1"/>
    <w:uiPriority w:val="1"/>
    <w:rsid w:val="007962F1"/>
    <w:rPr>
      <w:rFonts w:ascii="Calibri" w:hAnsi="Calibri" w:cs="Calibri"/>
      <w:sz w:val="22"/>
      <w:szCs w:val="22"/>
    </w:rPr>
  </w:style>
  <w:style w:type="paragraph" w:styleId="ListParagraph">
    <w:name w:val="List Paragraph"/>
    <w:basedOn w:val="Normal"/>
    <w:uiPriority w:val="1"/>
    <w:qFormat/>
    <w:rsid w:val="007962F1"/>
    <w:pPr>
      <w:widowControl w:val="0"/>
      <w:autoSpaceDE w:val="0"/>
      <w:autoSpaceDN w:val="0"/>
      <w:adjustRightInd w:val="0"/>
    </w:pPr>
    <w:rPr>
      <w:lang w:eastAsia="zh-CN"/>
    </w:rPr>
  </w:style>
  <w:style w:type="paragraph" w:customStyle="1" w:styleId="TableParagraph">
    <w:name w:val="Table Paragraph"/>
    <w:basedOn w:val="Normal"/>
    <w:uiPriority w:val="1"/>
    <w:qFormat/>
    <w:rsid w:val="007962F1"/>
    <w:pPr>
      <w:widowControl w:val="0"/>
      <w:autoSpaceDE w:val="0"/>
      <w:autoSpaceDN w:val="0"/>
      <w:adjustRightInd w:val="0"/>
    </w:pPr>
    <w:rPr>
      <w:lang w:eastAsia="zh-CN"/>
    </w:rPr>
  </w:style>
  <w:style w:type="paragraph" w:styleId="NormalWeb">
    <w:name w:val="Normal (Web)"/>
    <w:basedOn w:val="Normal"/>
    <w:uiPriority w:val="99"/>
    <w:unhideWhenUsed/>
    <w:rsid w:val="009A3F81"/>
    <w:pPr>
      <w:spacing w:before="100" w:beforeAutospacing="1" w:after="100" w:afterAutospacing="1"/>
    </w:pPr>
    <w:rPr>
      <w:rFonts w:ascii="Times" w:hAnsi="Times"/>
      <w:sz w:val="20"/>
      <w:szCs w:val="20"/>
      <w:lang w:eastAsia="zh-CN"/>
    </w:rPr>
  </w:style>
  <w:style w:type="character" w:styleId="UnresolvedMention">
    <w:name w:val="Unresolved Mention"/>
    <w:basedOn w:val="DefaultParagraphFont"/>
    <w:rsid w:val="00B01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9301">
      <w:bodyDiv w:val="1"/>
      <w:marLeft w:val="0"/>
      <w:marRight w:val="0"/>
      <w:marTop w:val="0"/>
      <w:marBottom w:val="0"/>
      <w:divBdr>
        <w:top w:val="none" w:sz="0" w:space="0" w:color="auto"/>
        <w:left w:val="none" w:sz="0" w:space="0" w:color="auto"/>
        <w:bottom w:val="none" w:sz="0" w:space="0" w:color="auto"/>
        <w:right w:val="none" w:sz="0" w:space="0" w:color="auto"/>
      </w:divBdr>
      <w:divsChild>
        <w:div w:id="1915890768">
          <w:marLeft w:val="0"/>
          <w:marRight w:val="0"/>
          <w:marTop w:val="0"/>
          <w:marBottom w:val="0"/>
          <w:divBdr>
            <w:top w:val="none" w:sz="0" w:space="0" w:color="auto"/>
            <w:left w:val="none" w:sz="0" w:space="0" w:color="auto"/>
            <w:bottom w:val="none" w:sz="0" w:space="0" w:color="auto"/>
            <w:right w:val="none" w:sz="0" w:space="0" w:color="auto"/>
          </w:divBdr>
          <w:divsChild>
            <w:div w:id="490946594">
              <w:marLeft w:val="0"/>
              <w:marRight w:val="0"/>
              <w:marTop w:val="0"/>
              <w:marBottom w:val="0"/>
              <w:divBdr>
                <w:top w:val="none" w:sz="0" w:space="0" w:color="auto"/>
                <w:left w:val="none" w:sz="0" w:space="0" w:color="auto"/>
                <w:bottom w:val="none" w:sz="0" w:space="0" w:color="auto"/>
                <w:right w:val="none" w:sz="0" w:space="0" w:color="auto"/>
              </w:divBdr>
              <w:divsChild>
                <w:div w:id="13809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8670">
      <w:bodyDiv w:val="1"/>
      <w:marLeft w:val="0"/>
      <w:marRight w:val="0"/>
      <w:marTop w:val="0"/>
      <w:marBottom w:val="0"/>
      <w:divBdr>
        <w:top w:val="none" w:sz="0" w:space="0" w:color="auto"/>
        <w:left w:val="none" w:sz="0" w:space="0" w:color="auto"/>
        <w:bottom w:val="none" w:sz="0" w:space="0" w:color="auto"/>
        <w:right w:val="none" w:sz="0" w:space="0" w:color="auto"/>
      </w:divBdr>
      <w:divsChild>
        <w:div w:id="1672832909">
          <w:marLeft w:val="0"/>
          <w:marRight w:val="0"/>
          <w:marTop w:val="0"/>
          <w:marBottom w:val="0"/>
          <w:divBdr>
            <w:top w:val="none" w:sz="0" w:space="0" w:color="auto"/>
            <w:left w:val="none" w:sz="0" w:space="0" w:color="auto"/>
            <w:bottom w:val="none" w:sz="0" w:space="0" w:color="auto"/>
            <w:right w:val="none" w:sz="0" w:space="0" w:color="auto"/>
          </w:divBdr>
        </w:div>
      </w:divsChild>
    </w:div>
    <w:div w:id="18156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uttyler.edu" TargetMode="External"/><Relationship Id="rId13" Type="http://schemas.openxmlformats.org/officeDocument/2006/relationships/hyperlink" Target="mailto:tutoring@uttyler.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un@uttyler.edu" TargetMode="External"/><Relationship Id="rId12" Type="http://schemas.openxmlformats.org/officeDocument/2006/relationships/hyperlink" Target="https://www.uttyler.edu/tuto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ritingcenter@uttyler.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ttyler.edu/writingcenter/" TargetMode="External"/><Relationship Id="rId4" Type="http://schemas.openxmlformats.org/officeDocument/2006/relationships/webSettings" Target="webSettings.xml"/><Relationship Id="rId9" Type="http://schemas.openxmlformats.org/officeDocument/2006/relationships/hyperlink" Target="http://supportcenteronline.com/ics/support/default.asp?deptID=688" TargetMode="External"/><Relationship Id="rId14" Type="http://schemas.openxmlformats.org/officeDocument/2006/relationships/hyperlink" Target="https://www.uttyler.edu/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4875</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Table of Contents</vt:lpstr>
    </vt:vector>
  </TitlesOfParts>
  <Company>The University of Texas at Tyler</Company>
  <LinksUpToDate>false</LinksUpToDate>
  <CharactersWithSpaces>32598</CharactersWithSpaces>
  <SharedDoc>false</SharedDoc>
  <HLinks>
    <vt:vector size="36" baseType="variant">
      <vt:variant>
        <vt:i4>5505096</vt:i4>
      </vt:variant>
      <vt:variant>
        <vt:i4>15</vt:i4>
      </vt:variant>
      <vt:variant>
        <vt:i4>0</vt:i4>
      </vt:variant>
      <vt:variant>
        <vt:i4>5</vt:i4>
      </vt:variant>
      <vt:variant>
        <vt:lpwstr>http://supportcenteronline.com/ics/support/default.asp?deptID=688</vt:lpwstr>
      </vt:variant>
      <vt:variant>
        <vt:lpwstr/>
      </vt:variant>
      <vt:variant>
        <vt:i4>5636100</vt:i4>
      </vt:variant>
      <vt:variant>
        <vt:i4>12</vt:i4>
      </vt:variant>
      <vt:variant>
        <vt:i4>0</vt:i4>
      </vt:variant>
      <vt:variant>
        <vt:i4>5</vt:i4>
      </vt:variant>
      <vt:variant>
        <vt:lpwstr>http://www.telecampus.utsystem.edu/technicalinformation/computerrequirements.aspx</vt:lpwstr>
      </vt:variant>
      <vt:variant>
        <vt:lpwstr/>
      </vt:variant>
      <vt:variant>
        <vt:i4>5636100</vt:i4>
      </vt:variant>
      <vt:variant>
        <vt:i4>9</vt:i4>
      </vt:variant>
      <vt:variant>
        <vt:i4>0</vt:i4>
      </vt:variant>
      <vt:variant>
        <vt:i4>5</vt:i4>
      </vt:variant>
      <vt:variant>
        <vt:lpwstr>http://www.telecampus.utsystem.edu/technicalinformation/computerrequirements.aspx</vt:lpwstr>
      </vt:variant>
      <vt:variant>
        <vt:lpwstr/>
      </vt:variant>
      <vt:variant>
        <vt:i4>6226009</vt:i4>
      </vt:variant>
      <vt:variant>
        <vt:i4>6</vt:i4>
      </vt:variant>
      <vt:variant>
        <vt:i4>0</vt:i4>
      </vt:variant>
      <vt:variant>
        <vt:i4>5</vt:i4>
      </vt:variant>
      <vt:variant>
        <vt:lpwstr>http://www.uttyler.edu/it/index.html</vt:lpwstr>
      </vt:variant>
      <vt:variant>
        <vt:lpwstr/>
      </vt:variant>
      <vt:variant>
        <vt:i4>5505096</vt:i4>
      </vt:variant>
      <vt:variant>
        <vt:i4>3</vt:i4>
      </vt:variant>
      <vt:variant>
        <vt:i4>0</vt:i4>
      </vt:variant>
      <vt:variant>
        <vt:i4>5</vt:i4>
      </vt:variant>
      <vt:variant>
        <vt:lpwstr>http://supportcenteronline.com/ics/support/default.asp?deptID=688</vt:lpwstr>
      </vt:variant>
      <vt:variant>
        <vt:lpwstr/>
      </vt:variant>
      <vt:variant>
        <vt:i4>3276908</vt:i4>
      </vt:variant>
      <vt:variant>
        <vt:i4>0</vt:i4>
      </vt:variant>
      <vt:variant>
        <vt:i4>0</vt:i4>
      </vt:variant>
      <vt:variant>
        <vt:i4>5</vt:i4>
      </vt:variant>
      <vt:variant>
        <vt:lpwstr>http://library.uttyler.edu/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Judy Sun</dc:creator>
  <cp:lastModifiedBy>Judy Sun</cp:lastModifiedBy>
  <cp:revision>3</cp:revision>
  <dcterms:created xsi:type="dcterms:W3CDTF">2024-01-10T19:17:00Z</dcterms:created>
  <dcterms:modified xsi:type="dcterms:W3CDTF">2024-01-10T19:30:00Z</dcterms:modified>
</cp:coreProperties>
</file>